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B2E1B" w14:textId="77777777" w:rsidR="00B16485" w:rsidRPr="008A0BBD" w:rsidRDefault="00F53032" w:rsidP="00F53032">
      <w:pPr>
        <w:jc w:val="center"/>
        <w:rPr>
          <w:b/>
          <w:sz w:val="28"/>
          <w:szCs w:val="28"/>
        </w:rPr>
      </w:pPr>
      <w:r w:rsidRPr="008A0BBD">
        <w:rPr>
          <w:b/>
          <w:sz w:val="28"/>
          <w:szCs w:val="28"/>
        </w:rPr>
        <w:t>The Bayeux Tapestry</w:t>
      </w:r>
    </w:p>
    <w:p w14:paraId="0C21F160" w14:textId="627F7667" w:rsidR="002C6CE3" w:rsidRPr="002A3EC3" w:rsidRDefault="00585B26" w:rsidP="00F53032">
      <w:pPr>
        <w:jc w:val="center"/>
        <w:rPr>
          <w:sz w:val="22"/>
          <w:szCs w:val="22"/>
        </w:rPr>
      </w:pPr>
      <w:r>
        <w:rPr>
          <w:sz w:val="22"/>
          <w:szCs w:val="22"/>
        </w:rPr>
        <w:t>Summer, 20</w:t>
      </w:r>
      <w:r w:rsidR="008D69D8">
        <w:rPr>
          <w:sz w:val="22"/>
          <w:szCs w:val="22"/>
        </w:rPr>
        <w:t>21</w:t>
      </w:r>
    </w:p>
    <w:p w14:paraId="63947668" w14:textId="77C4081F" w:rsidR="00F53032" w:rsidRPr="002A3EC3" w:rsidRDefault="002C6CE3" w:rsidP="005046F9">
      <w:pPr>
        <w:jc w:val="center"/>
        <w:rPr>
          <w:sz w:val="22"/>
          <w:szCs w:val="22"/>
        </w:rPr>
      </w:pPr>
      <w:r w:rsidRPr="002A3EC3">
        <w:rPr>
          <w:sz w:val="22"/>
          <w:szCs w:val="22"/>
        </w:rPr>
        <w:t xml:space="preserve">Newberry Library </w:t>
      </w:r>
    </w:p>
    <w:p w14:paraId="31AD5B71" w14:textId="6CE05B65" w:rsidR="006A5310" w:rsidRDefault="00585B26" w:rsidP="005046F9">
      <w:pPr>
        <w:jc w:val="center"/>
        <w:rPr>
          <w:sz w:val="22"/>
          <w:szCs w:val="22"/>
        </w:rPr>
      </w:pPr>
      <w:r>
        <w:rPr>
          <w:sz w:val="22"/>
          <w:szCs w:val="22"/>
        </w:rPr>
        <w:t>Syllabus</w:t>
      </w:r>
    </w:p>
    <w:p w14:paraId="7F449C4F" w14:textId="77777777" w:rsidR="000655A8" w:rsidRDefault="000655A8" w:rsidP="005046F9">
      <w:pPr>
        <w:jc w:val="center"/>
        <w:rPr>
          <w:sz w:val="22"/>
          <w:szCs w:val="22"/>
        </w:rPr>
      </w:pPr>
      <w:r>
        <w:rPr>
          <w:sz w:val="22"/>
          <w:szCs w:val="22"/>
        </w:rPr>
        <w:t xml:space="preserve">Susanne </w:t>
      </w:r>
      <w:proofErr w:type="spellStart"/>
      <w:r>
        <w:rPr>
          <w:sz w:val="22"/>
          <w:szCs w:val="22"/>
        </w:rPr>
        <w:t>Dumbleton</w:t>
      </w:r>
      <w:proofErr w:type="spellEnd"/>
      <w:r>
        <w:rPr>
          <w:sz w:val="22"/>
          <w:szCs w:val="22"/>
        </w:rPr>
        <w:t>, PhD</w:t>
      </w:r>
    </w:p>
    <w:p w14:paraId="761F253A" w14:textId="74230A07" w:rsidR="000655A8" w:rsidRDefault="000655A8" w:rsidP="005046F9">
      <w:pPr>
        <w:jc w:val="center"/>
        <w:rPr>
          <w:sz w:val="22"/>
          <w:szCs w:val="22"/>
        </w:rPr>
      </w:pPr>
      <w:r>
        <w:rPr>
          <w:sz w:val="22"/>
          <w:szCs w:val="22"/>
        </w:rPr>
        <w:t xml:space="preserve"> </w:t>
      </w:r>
      <w:hyperlink r:id="rId7" w:history="1">
        <w:r w:rsidRPr="003F6B9E">
          <w:rPr>
            <w:rStyle w:val="Hyperlink"/>
            <w:sz w:val="22"/>
            <w:szCs w:val="22"/>
          </w:rPr>
          <w:t>http://www.susannedumbleton.com</w:t>
        </w:r>
      </w:hyperlink>
    </w:p>
    <w:p w14:paraId="49D43620" w14:textId="0BF2EE36" w:rsidR="00D34446" w:rsidRDefault="00D34446" w:rsidP="000D44FA">
      <w:pPr>
        <w:rPr>
          <w:u w:val="single"/>
        </w:rPr>
      </w:pPr>
    </w:p>
    <w:p w14:paraId="01A936C2" w14:textId="77777777" w:rsidR="00585B26" w:rsidRPr="000D44FA" w:rsidRDefault="00585B26" w:rsidP="000D44FA">
      <w:pPr>
        <w:rPr>
          <w:u w:val="single"/>
        </w:rPr>
      </w:pPr>
    </w:p>
    <w:p w14:paraId="1F7C61C6" w14:textId="77777777" w:rsidR="006A5E93" w:rsidRPr="00A0756E" w:rsidRDefault="00D34446" w:rsidP="005D09C1">
      <w:pPr>
        <w:ind w:left="720"/>
        <w:rPr>
          <w:sz w:val="22"/>
          <w:szCs w:val="22"/>
        </w:rPr>
      </w:pPr>
      <w:r w:rsidRPr="00A0756E">
        <w:rPr>
          <w:i/>
          <w:sz w:val="22"/>
          <w:szCs w:val="22"/>
        </w:rPr>
        <w:t xml:space="preserve">“The Bayeux Tapestry is one of the supreme achievements of the Norman Romanesque…. Its survival almost intact over nine centuries is little short of miraculous… Its exceptional length, the harmony and freshness of its </w:t>
      </w:r>
      <w:proofErr w:type="spellStart"/>
      <w:r w:rsidRPr="00A0756E">
        <w:rPr>
          <w:i/>
          <w:sz w:val="22"/>
          <w:szCs w:val="22"/>
        </w:rPr>
        <w:t>colours</w:t>
      </w:r>
      <w:proofErr w:type="spellEnd"/>
      <w:r w:rsidRPr="00A0756E">
        <w:rPr>
          <w:i/>
          <w:sz w:val="22"/>
          <w:szCs w:val="22"/>
        </w:rPr>
        <w:t xml:space="preserve">, its exquisite workmanship, and the genius of the guiding spirit combine to make it endlessly fascinating.” </w:t>
      </w:r>
    </w:p>
    <w:p w14:paraId="6465AC84" w14:textId="01BFB895" w:rsidR="00D34446" w:rsidRPr="002A3EC3" w:rsidRDefault="00C9616E" w:rsidP="006A5E93">
      <w:pPr>
        <w:ind w:left="720"/>
        <w:jc w:val="right"/>
      </w:pPr>
      <w:proofErr w:type="spellStart"/>
      <w:r w:rsidRPr="00A0756E">
        <w:rPr>
          <w:sz w:val="22"/>
          <w:szCs w:val="22"/>
        </w:rPr>
        <w:t>Sylve</w:t>
      </w:r>
      <w:r w:rsidR="00D34446" w:rsidRPr="00A0756E">
        <w:rPr>
          <w:sz w:val="22"/>
          <w:szCs w:val="22"/>
        </w:rPr>
        <w:t>tte</w:t>
      </w:r>
      <w:proofErr w:type="spellEnd"/>
      <w:r w:rsidR="00D34446" w:rsidRPr="00A0756E">
        <w:rPr>
          <w:sz w:val="22"/>
          <w:szCs w:val="22"/>
        </w:rPr>
        <w:t xml:space="preserve"> </w:t>
      </w:r>
      <w:proofErr w:type="spellStart"/>
      <w:r w:rsidR="00D34446" w:rsidRPr="00A0756E">
        <w:rPr>
          <w:sz w:val="22"/>
          <w:szCs w:val="22"/>
        </w:rPr>
        <w:t>Lemagnen</w:t>
      </w:r>
      <w:proofErr w:type="spellEnd"/>
      <w:r w:rsidR="00D34446" w:rsidRPr="00A0756E">
        <w:rPr>
          <w:sz w:val="22"/>
          <w:szCs w:val="22"/>
        </w:rPr>
        <w:t>, conservator of the tapestry, in 2005</w:t>
      </w:r>
      <w:r w:rsidR="00D34446" w:rsidRPr="002A3EC3">
        <w:t xml:space="preserve">. </w:t>
      </w:r>
    </w:p>
    <w:p w14:paraId="3C79A955" w14:textId="30A84BA0" w:rsidR="0001698D" w:rsidRPr="003A2DDB" w:rsidRDefault="0001698D" w:rsidP="006A5E93">
      <w:pPr>
        <w:rPr>
          <w:u w:val="single"/>
        </w:rPr>
      </w:pPr>
    </w:p>
    <w:p w14:paraId="1227ED96" w14:textId="77777777" w:rsidR="007D54BD" w:rsidRDefault="007D54BD" w:rsidP="006A5E93">
      <w:pPr>
        <w:ind w:left="720"/>
      </w:pPr>
    </w:p>
    <w:p w14:paraId="3D8BDACC" w14:textId="77777777" w:rsidR="0031750F" w:rsidRPr="00580DC4" w:rsidRDefault="0031750F" w:rsidP="0031750F">
      <w:r w:rsidRPr="00580DC4">
        <w:t xml:space="preserve">The beautiful designed, meticulously crafted artifact known as the Bayeux Tapestry is as personally touching as it is historically and culturally valuable. Its 64.38 centimeters of linen panels, on which women whose identity will never be known meticulously stitched images and words, render in stunning detail an event that changed the history of western Europe—the Battle of Hastings, October 14, 1066. That event inextricably wove the futures of the Norman French and the Anglo Saxons into a new relationship. Though often in conflict, they would together weave a new language (English), a new way of organizing (shared governance), and an expanded sense of the continent of Europe—with the British Isles no longer apart. </w:t>
      </w:r>
    </w:p>
    <w:p w14:paraId="3955A0CC" w14:textId="77777777" w:rsidR="0031750F" w:rsidRPr="00580DC4" w:rsidRDefault="0031750F" w:rsidP="0031750F"/>
    <w:p w14:paraId="06CBB4F0" w14:textId="77777777" w:rsidR="00D91363" w:rsidRDefault="0031750F" w:rsidP="0031750F">
      <w:r w:rsidRPr="00580DC4">
        <w:t xml:space="preserve">In this </w:t>
      </w:r>
      <w:r w:rsidR="00534EC2">
        <w:t xml:space="preserve">two-session </w:t>
      </w:r>
      <w:r w:rsidR="00A0756E">
        <w:t xml:space="preserve">virtual </w:t>
      </w:r>
      <w:r w:rsidR="00534EC2">
        <w:t>seminar</w:t>
      </w:r>
      <w:r w:rsidRPr="00580DC4">
        <w:t xml:space="preserve">, we will review events leading up to the Battle, meet the principals involved, view the encounters, note the observations and assess the outcomes. Armed with that background, we will trace events in the panels, simultaneously enjoying the artistry of the designer and sewers. </w:t>
      </w:r>
    </w:p>
    <w:p w14:paraId="397471FC" w14:textId="77777777" w:rsidR="00D91363" w:rsidRDefault="00D91363" w:rsidP="0031750F"/>
    <w:p w14:paraId="25068009" w14:textId="4FE90512" w:rsidR="0031750F" w:rsidRPr="00580DC4" w:rsidRDefault="00A0756E" w:rsidP="0031750F">
      <w:r>
        <w:t>Using handsomely digitized images of the scenes and persons, w</w:t>
      </w:r>
      <w:r w:rsidR="0031750F" w:rsidRPr="00580DC4">
        <w:t xml:space="preserve">e will engage in some of the debate about the origins of the panels and the various uses they have played over the more than nine and a half centuries since their creation. </w:t>
      </w:r>
    </w:p>
    <w:p w14:paraId="056AAF84" w14:textId="77777777" w:rsidR="0031750F" w:rsidRDefault="0031750F" w:rsidP="0031750F">
      <w:pPr>
        <w:rPr>
          <w:i/>
        </w:rPr>
      </w:pPr>
    </w:p>
    <w:p w14:paraId="59977789" w14:textId="3C443EC0" w:rsidR="001F6B21" w:rsidRDefault="0031750F" w:rsidP="00D63156">
      <w:r>
        <w:t>The goal is t</w:t>
      </w:r>
      <w:r w:rsidR="001F6B21">
        <w:t xml:space="preserve">o gain an </w:t>
      </w:r>
      <w:r w:rsidR="00C6544C">
        <w:t xml:space="preserve">understanding of the </w:t>
      </w:r>
      <w:r w:rsidR="0071213E">
        <w:t>events depicted</w:t>
      </w:r>
      <w:r>
        <w:t>, an appreciation of</w:t>
      </w:r>
      <w:r w:rsidR="0071213E">
        <w:t xml:space="preserve"> </w:t>
      </w:r>
      <w:r w:rsidR="00C6544C">
        <w:t xml:space="preserve">the tapestry’s </w:t>
      </w:r>
      <w:r w:rsidR="0071213E">
        <w:t>artistic</w:t>
      </w:r>
      <w:r w:rsidR="00D43A53">
        <w:t xml:space="preserve"> and narrative</w:t>
      </w:r>
      <w:r w:rsidR="0071213E">
        <w:t xml:space="preserve"> </w:t>
      </w:r>
      <w:r w:rsidR="00C6544C">
        <w:t>merit</w:t>
      </w:r>
      <w:r w:rsidR="00D43A53">
        <w:t>, and a</w:t>
      </w:r>
      <w:r w:rsidR="00C6544C">
        <w:t xml:space="preserve">n awareness of </w:t>
      </w:r>
      <w:r w:rsidR="00580DC4">
        <w:t>its</w:t>
      </w:r>
      <w:r w:rsidR="00D43A53">
        <w:t xml:space="preserve"> significance </w:t>
      </w:r>
      <w:r w:rsidR="00C6544C">
        <w:t>to the historical record</w:t>
      </w:r>
      <w:r>
        <w:t>.</w:t>
      </w:r>
      <w:r w:rsidR="001F6B21">
        <w:t xml:space="preserve"> </w:t>
      </w:r>
    </w:p>
    <w:p w14:paraId="78FC3555" w14:textId="77777777" w:rsidR="00AB17AC" w:rsidRPr="002A3EC3" w:rsidRDefault="00AB17AC" w:rsidP="00426897"/>
    <w:p w14:paraId="643DE663" w14:textId="4F30DE1F" w:rsidR="00D91363" w:rsidRPr="00D91363" w:rsidRDefault="00D91363" w:rsidP="00D91363">
      <w:pPr>
        <w:rPr>
          <w:b/>
        </w:rPr>
      </w:pPr>
      <w:r>
        <w:rPr>
          <w:b/>
        </w:rPr>
        <w:t xml:space="preserve">FIRST MEETING: </w:t>
      </w:r>
      <w:r w:rsidRPr="00D91363">
        <w:rPr>
          <w:b/>
        </w:rPr>
        <w:t>HISTORY AND ARTISTRY</w:t>
      </w:r>
    </w:p>
    <w:p w14:paraId="4DEF7FEC" w14:textId="27B4EF59" w:rsidR="00426897" w:rsidRPr="00D91363" w:rsidRDefault="00D91363" w:rsidP="00D91363">
      <w:pPr>
        <w:pStyle w:val="ListParagraph"/>
        <w:numPr>
          <w:ilvl w:val="0"/>
          <w:numId w:val="10"/>
        </w:numPr>
        <w:rPr>
          <w:b/>
        </w:rPr>
      </w:pPr>
      <w:r w:rsidRPr="00D91363">
        <w:rPr>
          <w:b/>
        </w:rPr>
        <w:t>History IN t</w:t>
      </w:r>
      <w:r w:rsidR="00D63156" w:rsidRPr="00D91363">
        <w:rPr>
          <w:b/>
        </w:rPr>
        <w:t xml:space="preserve">he Tapestry </w:t>
      </w:r>
    </w:p>
    <w:p w14:paraId="7110AD92" w14:textId="77777777" w:rsidR="00D91363" w:rsidRDefault="00D91363" w:rsidP="00D91363">
      <w:pPr>
        <w:pStyle w:val="ListParagraph"/>
        <w:numPr>
          <w:ilvl w:val="0"/>
          <w:numId w:val="2"/>
        </w:numPr>
      </w:pPr>
      <w:r>
        <w:t>Overall Context: The “Dark Ages” or Early Medieval Period</w:t>
      </w:r>
    </w:p>
    <w:p w14:paraId="27DFA783" w14:textId="77777777" w:rsidR="00D91363" w:rsidRDefault="00D91363" w:rsidP="00D91363">
      <w:pPr>
        <w:pStyle w:val="ListParagraph"/>
        <w:numPr>
          <w:ilvl w:val="0"/>
          <w:numId w:val="2"/>
        </w:numPr>
      </w:pPr>
      <w:r>
        <w:t>Immediate Lead-up to the Battle--</w:t>
      </w:r>
      <w:r w:rsidRPr="00753897">
        <w:t>1064-1066</w:t>
      </w:r>
    </w:p>
    <w:p w14:paraId="5E32199C" w14:textId="77777777" w:rsidR="00D91363" w:rsidRDefault="00D91363" w:rsidP="00D91363">
      <w:pPr>
        <w:pStyle w:val="ListParagraph"/>
        <w:numPr>
          <w:ilvl w:val="1"/>
          <w:numId w:val="2"/>
        </w:numPr>
      </w:pPr>
      <w:r>
        <w:t>Monarchy and Succession</w:t>
      </w:r>
    </w:p>
    <w:p w14:paraId="17E1E3BA" w14:textId="77FD900A" w:rsidR="00D91363" w:rsidRDefault="00D91363" w:rsidP="00D91363">
      <w:pPr>
        <w:pStyle w:val="ListParagraph"/>
        <w:numPr>
          <w:ilvl w:val="1"/>
          <w:numId w:val="2"/>
        </w:numPr>
      </w:pPr>
      <w:r>
        <w:t xml:space="preserve">Religion and Succession </w:t>
      </w:r>
    </w:p>
    <w:p w14:paraId="558BB862" w14:textId="6550BC5B" w:rsidR="00D91363" w:rsidRDefault="00D91363" w:rsidP="00D91363">
      <w:pPr>
        <w:pStyle w:val="ListParagraph"/>
        <w:numPr>
          <w:ilvl w:val="1"/>
          <w:numId w:val="2"/>
        </w:numPr>
      </w:pPr>
      <w:r>
        <w:t>Relationships among royal families</w:t>
      </w:r>
    </w:p>
    <w:p w14:paraId="4A2A0E9A" w14:textId="0EE8E690" w:rsidR="00D91363" w:rsidRDefault="00D91363" w:rsidP="00D91363">
      <w:pPr>
        <w:pStyle w:val="ListParagraph"/>
        <w:numPr>
          <w:ilvl w:val="2"/>
          <w:numId w:val="2"/>
        </w:numPr>
      </w:pPr>
      <w:r w:rsidRPr="002A3EC3">
        <w:t>King Edward (the Confessor) without “issue”</w:t>
      </w:r>
    </w:p>
    <w:p w14:paraId="4A7F04C2" w14:textId="77777777" w:rsidR="00D91363" w:rsidRDefault="00D91363" w:rsidP="00D91363">
      <w:pPr>
        <w:pStyle w:val="ListParagraph"/>
        <w:numPr>
          <w:ilvl w:val="2"/>
          <w:numId w:val="2"/>
        </w:numPr>
      </w:pPr>
      <w:r w:rsidRPr="002A3EC3">
        <w:t>Duke Harold (brother-in-law)</w:t>
      </w:r>
    </w:p>
    <w:p w14:paraId="05E66604" w14:textId="4FEA2000" w:rsidR="00D91363" w:rsidRDefault="00D91363" w:rsidP="00D91363">
      <w:pPr>
        <w:pStyle w:val="ListParagraph"/>
        <w:numPr>
          <w:ilvl w:val="2"/>
          <w:numId w:val="2"/>
        </w:numPr>
      </w:pPr>
      <w:r w:rsidRPr="002A3EC3">
        <w:t>Duke William (first cousin once removed)</w:t>
      </w:r>
    </w:p>
    <w:p w14:paraId="63DA7A23" w14:textId="263AD45A" w:rsidR="00D91363" w:rsidRDefault="00D91363" w:rsidP="00D91363">
      <w:pPr>
        <w:pStyle w:val="ListParagraph"/>
        <w:numPr>
          <w:ilvl w:val="0"/>
          <w:numId w:val="2"/>
        </w:numPr>
      </w:pPr>
      <w:r>
        <w:t>Warfare in the Middle Ages</w:t>
      </w:r>
    </w:p>
    <w:p w14:paraId="6935C8F1" w14:textId="77777777" w:rsidR="00D91363" w:rsidRDefault="00D91363" w:rsidP="00D91363">
      <w:pPr>
        <w:pStyle w:val="ListParagraph"/>
        <w:numPr>
          <w:ilvl w:val="0"/>
          <w:numId w:val="2"/>
        </w:numPr>
      </w:pPr>
      <w:r>
        <w:t>Impact of the Norman Conquest</w:t>
      </w:r>
    </w:p>
    <w:p w14:paraId="4DD832CB" w14:textId="5FBBD080" w:rsidR="00D91363" w:rsidRDefault="00D91363" w:rsidP="00D91363">
      <w:pPr>
        <w:ind w:left="1080"/>
      </w:pPr>
    </w:p>
    <w:p w14:paraId="433A962B" w14:textId="77777777" w:rsidR="000655A8" w:rsidRDefault="000655A8" w:rsidP="00D91363">
      <w:pPr>
        <w:ind w:left="1080"/>
      </w:pPr>
    </w:p>
    <w:p w14:paraId="24FF4AC2" w14:textId="64347839" w:rsidR="00D91363" w:rsidRPr="00D91363" w:rsidRDefault="00D91363" w:rsidP="00D91363">
      <w:pPr>
        <w:pStyle w:val="ListParagraph"/>
        <w:numPr>
          <w:ilvl w:val="0"/>
          <w:numId w:val="10"/>
        </w:numPr>
      </w:pPr>
      <w:r w:rsidRPr="00D91363">
        <w:rPr>
          <w:b/>
          <w:bCs/>
        </w:rPr>
        <w:t xml:space="preserve"> History OF the Tapestry</w:t>
      </w:r>
    </w:p>
    <w:p w14:paraId="071ACC69" w14:textId="77777777" w:rsidR="00D91363" w:rsidRPr="00753897" w:rsidRDefault="00D91363" w:rsidP="00D91363">
      <w:pPr>
        <w:pStyle w:val="ListParagraph"/>
        <w:numPr>
          <w:ilvl w:val="0"/>
          <w:numId w:val="2"/>
        </w:numPr>
        <w:rPr>
          <w:u w:val="single"/>
        </w:rPr>
      </w:pPr>
      <w:r w:rsidRPr="002A3EC3">
        <w:t>P</w:t>
      </w:r>
      <w:r>
        <w:t>robable Date of Completion (July 14, 1077)</w:t>
      </w:r>
    </w:p>
    <w:p w14:paraId="2A208939" w14:textId="621DF13B" w:rsidR="00D91363" w:rsidRPr="00D91363" w:rsidRDefault="00D91363" w:rsidP="00D91363">
      <w:pPr>
        <w:pStyle w:val="ListParagraph"/>
        <w:numPr>
          <w:ilvl w:val="0"/>
          <w:numId w:val="2"/>
        </w:numPr>
        <w:rPr>
          <w:u w:val="single"/>
        </w:rPr>
      </w:pPr>
      <w:r>
        <w:t>Probable Dates of Display (St. John’s Day-July 14)</w:t>
      </w:r>
    </w:p>
    <w:p w14:paraId="069BFA8D" w14:textId="602BD443" w:rsidR="00D91363" w:rsidRPr="000655A8" w:rsidRDefault="00D91363" w:rsidP="00D91363">
      <w:pPr>
        <w:pStyle w:val="ListParagraph"/>
        <w:numPr>
          <w:ilvl w:val="0"/>
          <w:numId w:val="2"/>
        </w:numPr>
        <w:rPr>
          <w:u w:val="single"/>
        </w:rPr>
      </w:pPr>
      <w:r>
        <w:t xml:space="preserve">Crises over the centuries and </w:t>
      </w:r>
      <w:proofErr w:type="spellStart"/>
      <w:r>
        <w:t>ingenius</w:t>
      </w:r>
      <w:proofErr w:type="spellEnd"/>
      <w:r>
        <w:t xml:space="preserve"> / heroic actions</w:t>
      </w:r>
    </w:p>
    <w:p w14:paraId="130BC4AE" w14:textId="2FB8B225" w:rsidR="00D91363" w:rsidRPr="00D91363" w:rsidRDefault="00D91363" w:rsidP="00D91363">
      <w:pPr>
        <w:pStyle w:val="ListParagraph"/>
        <w:numPr>
          <w:ilvl w:val="0"/>
          <w:numId w:val="10"/>
        </w:numPr>
        <w:rPr>
          <w:b/>
        </w:rPr>
      </w:pPr>
      <w:r w:rsidRPr="00D91363">
        <w:rPr>
          <w:b/>
        </w:rPr>
        <w:t>Artistry</w:t>
      </w:r>
    </w:p>
    <w:p w14:paraId="5261A1C6" w14:textId="750DF774" w:rsidR="00D63156" w:rsidRPr="007D54BD" w:rsidRDefault="00D63156" w:rsidP="00D63156">
      <w:pPr>
        <w:pStyle w:val="ListParagraph"/>
        <w:numPr>
          <w:ilvl w:val="0"/>
          <w:numId w:val="2"/>
        </w:numPr>
      </w:pPr>
      <w:r>
        <w:t>Overall</w:t>
      </w:r>
      <w:r w:rsidRPr="007D54BD">
        <w:t xml:space="preserve"> </w:t>
      </w:r>
      <w:r w:rsidR="00D91363">
        <w:t>Design</w:t>
      </w:r>
    </w:p>
    <w:p w14:paraId="06880253" w14:textId="73900E9D" w:rsidR="00D63156" w:rsidRPr="007D54BD" w:rsidRDefault="00D91363" w:rsidP="00D63156">
      <w:pPr>
        <w:pStyle w:val="ListParagraph"/>
        <w:numPr>
          <w:ilvl w:val="1"/>
          <w:numId w:val="2"/>
        </w:numPr>
      </w:pPr>
      <w:r>
        <w:t>Concept</w:t>
      </w:r>
      <w:r w:rsidR="00D63156" w:rsidRPr="007D54BD">
        <w:t xml:space="preserve">, motion, color </w:t>
      </w:r>
    </w:p>
    <w:p w14:paraId="2ACDDD7B" w14:textId="14D6127D" w:rsidR="00D63156" w:rsidRDefault="00D63156" w:rsidP="00D63156">
      <w:pPr>
        <w:pStyle w:val="ListParagraph"/>
        <w:numPr>
          <w:ilvl w:val="1"/>
          <w:numId w:val="2"/>
        </w:numPr>
      </w:pPr>
      <w:r w:rsidRPr="007D54BD">
        <w:t xml:space="preserve">Process </w:t>
      </w:r>
      <w:r w:rsidR="00D91363" w:rsidRPr="007D54BD">
        <w:t>specificity vs autonomy (stitchers)</w:t>
      </w:r>
    </w:p>
    <w:p w14:paraId="36B67B6B" w14:textId="0EAC35A7" w:rsidR="00D63156" w:rsidRDefault="003858FC" w:rsidP="001F6DE3">
      <w:pPr>
        <w:pStyle w:val="ListParagraph"/>
        <w:numPr>
          <w:ilvl w:val="0"/>
          <w:numId w:val="2"/>
        </w:numPr>
      </w:pPr>
      <w:r w:rsidRPr="002A3EC3">
        <w:t>A</w:t>
      </w:r>
      <w:r w:rsidR="007A1E7D">
        <w:t xml:space="preserve">s </w:t>
      </w:r>
      <w:r w:rsidR="00C6544C">
        <w:t>Viewed</w:t>
      </w:r>
    </w:p>
    <w:p w14:paraId="7D9AABE1" w14:textId="788D88A1" w:rsidR="003858FC" w:rsidRPr="002A3EC3" w:rsidRDefault="00D63156" w:rsidP="00D63156">
      <w:pPr>
        <w:pStyle w:val="ListParagraph"/>
        <w:numPr>
          <w:ilvl w:val="1"/>
          <w:numId w:val="2"/>
        </w:numPr>
      </w:pPr>
      <w:r>
        <w:t xml:space="preserve">As </w:t>
      </w:r>
      <w:r w:rsidR="007A1E7D">
        <w:t xml:space="preserve">hung </w:t>
      </w:r>
      <w:r>
        <w:t xml:space="preserve">in cathedral–maybe ambulatory </w:t>
      </w:r>
      <w:r w:rsidR="007A1E7D">
        <w:t xml:space="preserve">or side aisle </w:t>
      </w:r>
      <w:proofErr w:type="gramStart"/>
      <w:r w:rsidR="007A1E7D">
        <w:t>or ?</w:t>
      </w:r>
      <w:proofErr w:type="gramEnd"/>
      <w:r w:rsidR="001F6DE3" w:rsidRPr="002A3EC3">
        <w:t xml:space="preserve">  </w:t>
      </w:r>
    </w:p>
    <w:p w14:paraId="0A6A0F17" w14:textId="77D14EF9" w:rsidR="00660DDA" w:rsidRPr="002A3EC3" w:rsidRDefault="003858FC" w:rsidP="00D63156">
      <w:pPr>
        <w:pStyle w:val="ListParagraph"/>
        <w:numPr>
          <w:ilvl w:val="1"/>
          <w:numId w:val="2"/>
        </w:numPr>
      </w:pPr>
      <w:r w:rsidRPr="002A3EC3">
        <w:t>As now displayed in museum</w:t>
      </w:r>
      <w:r w:rsidR="00660DDA" w:rsidRPr="002A3EC3">
        <w:t xml:space="preserve"> </w:t>
      </w:r>
      <w:r w:rsidR="007A1E7D">
        <w:t>(</w:t>
      </w:r>
      <w:r w:rsidR="00534EC2">
        <w:t xml:space="preserve">opened in </w:t>
      </w:r>
      <w:r w:rsidR="007A1E7D">
        <w:t>198</w:t>
      </w:r>
      <w:r w:rsidR="001D599F" w:rsidRPr="002A3EC3">
        <w:t>3)</w:t>
      </w:r>
    </w:p>
    <w:p w14:paraId="1848F573" w14:textId="77777777" w:rsidR="003A2DDB" w:rsidRDefault="00B14FD6" w:rsidP="00D63156">
      <w:pPr>
        <w:pStyle w:val="ListParagraph"/>
        <w:numPr>
          <w:ilvl w:val="1"/>
          <w:numId w:val="2"/>
        </w:numPr>
      </w:pPr>
      <w:r w:rsidRPr="002A3EC3">
        <w:t>As available as Scrollable Tapestry</w:t>
      </w:r>
    </w:p>
    <w:p w14:paraId="38948DB2" w14:textId="2691D61B" w:rsidR="007D54BD" w:rsidRPr="007D54BD" w:rsidRDefault="00C6544C" w:rsidP="007D54BD">
      <w:pPr>
        <w:pStyle w:val="ListParagraph"/>
        <w:numPr>
          <w:ilvl w:val="0"/>
          <w:numId w:val="2"/>
        </w:numPr>
      </w:pPr>
      <w:r>
        <w:t>In Detail</w:t>
      </w:r>
    </w:p>
    <w:p w14:paraId="7CA39BAF" w14:textId="77777777" w:rsidR="000655A8" w:rsidRDefault="00D63156" w:rsidP="000655A8">
      <w:pPr>
        <w:pStyle w:val="ListParagraph"/>
        <w:numPr>
          <w:ilvl w:val="1"/>
          <w:numId w:val="2"/>
        </w:numPr>
      </w:pPr>
      <w:r>
        <w:t>Dimensions</w:t>
      </w:r>
      <w:r w:rsidR="000655A8">
        <w:t xml:space="preserve">; </w:t>
      </w:r>
      <w:r>
        <w:t>Divisions</w:t>
      </w:r>
      <w:r w:rsidR="000655A8">
        <w:t xml:space="preserve">; </w:t>
      </w:r>
      <w:r>
        <w:t>Composition</w:t>
      </w:r>
      <w:r w:rsidR="000655A8">
        <w:t xml:space="preserve">; </w:t>
      </w:r>
      <w:r>
        <w:t>Content</w:t>
      </w:r>
      <w:r w:rsidR="000655A8">
        <w:t xml:space="preserve">; </w:t>
      </w:r>
      <w:r>
        <w:t>Differentiations</w:t>
      </w:r>
    </w:p>
    <w:p w14:paraId="77E17368" w14:textId="296AAE0B" w:rsidR="00D91363" w:rsidRPr="000655A8" w:rsidRDefault="00753897" w:rsidP="000655A8">
      <w:pPr>
        <w:pStyle w:val="ListParagraph"/>
        <w:numPr>
          <w:ilvl w:val="0"/>
          <w:numId w:val="2"/>
        </w:numPr>
      </w:pPr>
      <w:r w:rsidRPr="000655A8">
        <w:rPr>
          <w:iCs/>
        </w:rPr>
        <w:t>Aesthetic</w:t>
      </w:r>
      <w:r w:rsidR="00D91363" w:rsidRPr="000655A8">
        <w:rPr>
          <w:u w:val="single"/>
        </w:rPr>
        <w:t xml:space="preserve"> </w:t>
      </w:r>
    </w:p>
    <w:p w14:paraId="0F4EAE5F" w14:textId="15BA6EB0" w:rsidR="00753897" w:rsidRPr="00D91363" w:rsidRDefault="00D91363" w:rsidP="00D91363">
      <w:pPr>
        <w:ind w:left="1440"/>
      </w:pPr>
      <w:r w:rsidRPr="00C6544C">
        <w:rPr>
          <w:u w:val="single"/>
        </w:rPr>
        <w:t>Romanesque</w:t>
      </w:r>
      <w:r>
        <w:t xml:space="preserve"> </w:t>
      </w:r>
      <w:r w:rsidRPr="00A0756E">
        <w:rPr>
          <w:i/>
          <w:sz w:val="22"/>
          <w:szCs w:val="22"/>
        </w:rPr>
        <w:t xml:space="preserve">“…the tapestry rigidly avoids anything which might distract it from its purpose, eschewing anecdote and embellishment, the merely pious and the merely poetic alike. In common with the great Romanesque masterpieces built soon after the Conquest, it achieves its effects by the most direct of methods,” </w:t>
      </w:r>
      <w:r w:rsidRPr="00A0756E">
        <w:rPr>
          <w:sz w:val="22"/>
          <w:szCs w:val="22"/>
        </w:rPr>
        <w:t>Musset, 33.</w:t>
      </w:r>
    </w:p>
    <w:p w14:paraId="64EC5082" w14:textId="6CD15D14" w:rsidR="00753897" w:rsidRDefault="009A472F" w:rsidP="00D91363">
      <w:pPr>
        <w:pStyle w:val="ListParagraph"/>
        <w:numPr>
          <w:ilvl w:val="2"/>
          <w:numId w:val="5"/>
        </w:numPr>
      </w:pPr>
      <w:r w:rsidRPr="003A2DDB">
        <w:t>blend of simplicity and sophistication</w:t>
      </w:r>
    </w:p>
    <w:p w14:paraId="6C2AD020" w14:textId="77777777" w:rsidR="000655A8" w:rsidRDefault="000655A8" w:rsidP="000655A8">
      <w:pPr>
        <w:pStyle w:val="ListParagraph"/>
        <w:numPr>
          <w:ilvl w:val="2"/>
          <w:numId w:val="5"/>
        </w:numPr>
      </w:pPr>
      <w:r w:rsidRPr="003A2DDB">
        <w:t xml:space="preserve">variety (density </w:t>
      </w:r>
      <w:r>
        <w:t>and</w:t>
      </w:r>
      <w:r w:rsidRPr="003A2DDB">
        <w:t xml:space="preserve"> lightness)</w:t>
      </w:r>
    </w:p>
    <w:p w14:paraId="2900F817" w14:textId="338EA408" w:rsidR="00753897" w:rsidRDefault="009A472F" w:rsidP="00D91363">
      <w:pPr>
        <w:pStyle w:val="ListParagraph"/>
        <w:numPr>
          <w:ilvl w:val="2"/>
          <w:numId w:val="5"/>
        </w:numPr>
      </w:pPr>
      <w:r w:rsidRPr="003A2DDB">
        <w:t xml:space="preserve">proportion (compression of complex narrative) </w:t>
      </w:r>
    </w:p>
    <w:p w14:paraId="2AD39284" w14:textId="77777777" w:rsidR="00534EC2" w:rsidRDefault="009A472F" w:rsidP="00D91363">
      <w:pPr>
        <w:pStyle w:val="ListParagraph"/>
        <w:numPr>
          <w:ilvl w:val="2"/>
          <w:numId w:val="5"/>
        </w:numPr>
      </w:pPr>
      <w:r w:rsidRPr="003A2DDB">
        <w:t>colors</w:t>
      </w:r>
    </w:p>
    <w:p w14:paraId="0DB30148" w14:textId="11A88C2D" w:rsidR="00753897" w:rsidRDefault="009A472F" w:rsidP="00D91363">
      <w:pPr>
        <w:pStyle w:val="ListParagraph"/>
        <w:numPr>
          <w:ilvl w:val="2"/>
          <w:numId w:val="5"/>
        </w:numPr>
      </w:pPr>
      <w:r w:rsidRPr="003A2DDB">
        <w:t xml:space="preserve">scope </w:t>
      </w:r>
    </w:p>
    <w:p w14:paraId="72B47950" w14:textId="156A4C0E" w:rsidR="00AB17AC" w:rsidRPr="000655A8" w:rsidRDefault="00534EC2" w:rsidP="00F53032">
      <w:pPr>
        <w:pStyle w:val="ListParagraph"/>
        <w:numPr>
          <w:ilvl w:val="2"/>
          <w:numId w:val="5"/>
        </w:numPr>
      </w:pPr>
      <w:r>
        <w:t>overall aesthetic impact</w:t>
      </w:r>
    </w:p>
    <w:p w14:paraId="31434786" w14:textId="4C437929" w:rsidR="00D91363" w:rsidRPr="00D91363" w:rsidRDefault="00D91363" w:rsidP="00D91363">
      <w:pPr>
        <w:pStyle w:val="ListParagraph"/>
        <w:numPr>
          <w:ilvl w:val="0"/>
          <w:numId w:val="10"/>
        </w:numPr>
        <w:rPr>
          <w:b/>
        </w:rPr>
      </w:pPr>
      <w:r w:rsidRPr="00D91363">
        <w:rPr>
          <w:b/>
        </w:rPr>
        <w:t xml:space="preserve">Importance of the Tapestry as History </w:t>
      </w:r>
    </w:p>
    <w:p w14:paraId="0D131CC4" w14:textId="77777777" w:rsidR="00D91363" w:rsidRPr="002A3EC3" w:rsidRDefault="00D91363" w:rsidP="00F53032">
      <w:pPr>
        <w:rPr>
          <w:u w:val="single"/>
        </w:rPr>
      </w:pPr>
    </w:p>
    <w:p w14:paraId="701D5083" w14:textId="649E8F7C" w:rsidR="000214AC" w:rsidRDefault="00D91363" w:rsidP="00D91363">
      <w:pPr>
        <w:rPr>
          <w:b/>
          <w:bCs/>
        </w:rPr>
      </w:pPr>
      <w:r>
        <w:rPr>
          <w:b/>
          <w:bCs/>
        </w:rPr>
        <w:t xml:space="preserve">SECOND SESSION: </w:t>
      </w:r>
      <w:r w:rsidR="000655A8">
        <w:rPr>
          <w:b/>
          <w:bCs/>
        </w:rPr>
        <w:t>“</w:t>
      </w:r>
      <w:r>
        <w:rPr>
          <w:b/>
          <w:bCs/>
        </w:rPr>
        <w:t>WALK AROUND</w:t>
      </w:r>
      <w:r w:rsidR="000655A8">
        <w:rPr>
          <w:b/>
          <w:bCs/>
        </w:rPr>
        <w:t>”</w:t>
      </w:r>
    </w:p>
    <w:p w14:paraId="65AF057F" w14:textId="77777777" w:rsidR="00D91363" w:rsidRPr="00D91363" w:rsidRDefault="00D91363" w:rsidP="00D91363">
      <w:pPr>
        <w:rPr>
          <w:b/>
          <w:bCs/>
        </w:rPr>
      </w:pPr>
    </w:p>
    <w:p w14:paraId="4DDB5DBC" w14:textId="02B661CD" w:rsidR="006A5E93" w:rsidRPr="00D91363" w:rsidRDefault="00580DC4" w:rsidP="00D91363">
      <w:pPr>
        <w:pStyle w:val="ListParagraph"/>
        <w:numPr>
          <w:ilvl w:val="0"/>
          <w:numId w:val="11"/>
        </w:numPr>
        <w:rPr>
          <w:b/>
        </w:rPr>
      </w:pPr>
      <w:r w:rsidRPr="00D91363">
        <w:rPr>
          <w:b/>
        </w:rPr>
        <w:t>The Tapestry as Narrative</w:t>
      </w:r>
    </w:p>
    <w:p w14:paraId="355AB4CE" w14:textId="77777777" w:rsidR="00534EC2" w:rsidRDefault="006A5E93" w:rsidP="00D91363">
      <w:pPr>
        <w:pStyle w:val="ListParagraph"/>
        <w:numPr>
          <w:ilvl w:val="0"/>
          <w:numId w:val="6"/>
        </w:numPr>
        <w:ind w:left="1080"/>
      </w:pPr>
      <w:r w:rsidRPr="001E57C0">
        <w:t>“</w:t>
      </w:r>
      <w:r w:rsidR="00E36A6A">
        <w:t>Narrative Elements” (</w:t>
      </w:r>
      <w:r w:rsidRPr="001E57C0">
        <w:t>Plot, Characters,</w:t>
      </w:r>
      <w:r w:rsidR="00E36A6A">
        <w:t xml:space="preserve"> Setting, Language, Tone, Theme)</w:t>
      </w:r>
    </w:p>
    <w:p w14:paraId="185D64E3" w14:textId="77777777" w:rsidR="00534EC2" w:rsidRDefault="00534EC2" w:rsidP="00D91363">
      <w:pPr>
        <w:pStyle w:val="ListParagraph"/>
        <w:numPr>
          <w:ilvl w:val="0"/>
          <w:numId w:val="6"/>
        </w:numPr>
        <w:ind w:left="1080"/>
      </w:pPr>
      <w:r>
        <w:t xml:space="preserve">Narrative techniques: </w:t>
      </w:r>
      <w:r w:rsidR="006A5E93" w:rsidRPr="002A3EC3">
        <w:t>Clustering; Leaping and Lingering; Major Moments</w:t>
      </w:r>
    </w:p>
    <w:p w14:paraId="62F27FCB" w14:textId="352978E2" w:rsidR="006A5E93" w:rsidRPr="00534EC2" w:rsidRDefault="00534EC2" w:rsidP="00D91363">
      <w:pPr>
        <w:pStyle w:val="ListParagraph"/>
        <w:numPr>
          <w:ilvl w:val="0"/>
          <w:numId w:val="6"/>
        </w:numPr>
        <w:ind w:left="1080"/>
      </w:pPr>
      <w:r>
        <w:t xml:space="preserve">Specific language: The </w:t>
      </w:r>
      <w:r w:rsidR="006A5E93" w:rsidRPr="002A3EC3">
        <w:t xml:space="preserve">Captions </w:t>
      </w:r>
    </w:p>
    <w:p w14:paraId="701B6056" w14:textId="31F36C01" w:rsidR="00AB17AC" w:rsidRPr="002A3EC3" w:rsidRDefault="006A5E93" w:rsidP="000655A8">
      <w:pPr>
        <w:ind w:left="1800"/>
      </w:pPr>
      <w:r w:rsidRPr="00A0756E">
        <w:rPr>
          <w:i/>
          <w:sz w:val="22"/>
          <w:szCs w:val="22"/>
        </w:rPr>
        <w:t>“The writing explains the images and subjects so that anyone who can read can understand them… in fact, one reads these cloths.”</w:t>
      </w:r>
      <w:r w:rsidRPr="002A3EC3">
        <w:rPr>
          <w:i/>
        </w:rPr>
        <w:t xml:space="preserve"> </w:t>
      </w:r>
      <w:proofErr w:type="spellStart"/>
      <w:r w:rsidR="001E57C0">
        <w:t>Boudry</w:t>
      </w:r>
      <w:proofErr w:type="spellEnd"/>
      <w:r w:rsidR="001E57C0">
        <w:t xml:space="preserve"> de </w:t>
      </w:r>
      <w:proofErr w:type="spellStart"/>
      <w:r w:rsidR="001E57C0">
        <w:t>Bourguile</w:t>
      </w:r>
      <w:proofErr w:type="spellEnd"/>
      <w:r w:rsidR="001E57C0">
        <w:t xml:space="preserve"> (</w:t>
      </w:r>
      <w:r w:rsidRPr="002A3EC3">
        <w:t>Musset, 39).</w:t>
      </w:r>
    </w:p>
    <w:p w14:paraId="6044A69B" w14:textId="617F5697" w:rsidR="00AB17AC" w:rsidRPr="00D91363" w:rsidRDefault="00D91363" w:rsidP="00D91363">
      <w:pPr>
        <w:pStyle w:val="ListParagraph"/>
        <w:numPr>
          <w:ilvl w:val="0"/>
          <w:numId w:val="11"/>
        </w:numPr>
        <w:rPr>
          <w:b/>
        </w:rPr>
      </w:pPr>
      <w:r w:rsidRPr="00D91363">
        <w:rPr>
          <w:b/>
        </w:rPr>
        <w:t xml:space="preserve">Overall Importance </w:t>
      </w:r>
      <w:r w:rsidR="00D04F23" w:rsidRPr="00D91363">
        <w:rPr>
          <w:b/>
        </w:rPr>
        <w:t xml:space="preserve">of the Tapestry </w:t>
      </w:r>
    </w:p>
    <w:p w14:paraId="5D19E795" w14:textId="4F4C7F66" w:rsidR="006A5E93" w:rsidRDefault="006A5E93">
      <w:pPr>
        <w:rPr>
          <w:u w:val="single"/>
        </w:rPr>
      </w:pPr>
    </w:p>
    <w:p w14:paraId="2391F4A2" w14:textId="51763651" w:rsidR="00B94B8A" w:rsidRPr="00E94CF0" w:rsidRDefault="00B94B8A" w:rsidP="00B94B8A">
      <w:pPr>
        <w:rPr>
          <w:rFonts w:ascii="Book Antiqua" w:hAnsi="Book Antiqua"/>
          <w:b/>
        </w:rPr>
      </w:pPr>
      <w:r w:rsidRPr="00E94CF0">
        <w:rPr>
          <w:rFonts w:ascii="Book Antiqua" w:hAnsi="Book Antiqua"/>
          <w:b/>
        </w:rPr>
        <w:t>VI. Further Reading and viewing</w:t>
      </w:r>
    </w:p>
    <w:p w14:paraId="61253AF7" w14:textId="77777777" w:rsidR="00D91363" w:rsidRPr="000655A8" w:rsidRDefault="00534EC2" w:rsidP="00D91363">
      <w:pPr>
        <w:pStyle w:val="ListParagraph"/>
        <w:numPr>
          <w:ilvl w:val="0"/>
          <w:numId w:val="6"/>
        </w:numPr>
        <w:rPr>
          <w:rFonts w:ascii="Book Antiqua" w:hAnsi="Book Antiqua"/>
          <w:sz w:val="20"/>
          <w:szCs w:val="20"/>
        </w:rPr>
      </w:pPr>
      <w:proofErr w:type="spellStart"/>
      <w:r w:rsidRPr="000655A8">
        <w:rPr>
          <w:rFonts w:ascii="Book Antiqua" w:hAnsi="Book Antiqua"/>
          <w:sz w:val="20"/>
          <w:szCs w:val="20"/>
        </w:rPr>
        <w:t>Bouet</w:t>
      </w:r>
      <w:proofErr w:type="spellEnd"/>
      <w:r w:rsidRPr="000655A8">
        <w:rPr>
          <w:rFonts w:ascii="Book Antiqua" w:hAnsi="Book Antiqua"/>
          <w:sz w:val="20"/>
          <w:szCs w:val="20"/>
        </w:rPr>
        <w:t xml:space="preserve">, </w:t>
      </w:r>
      <w:proofErr w:type="spellStart"/>
      <w:r w:rsidRPr="000655A8">
        <w:rPr>
          <w:rFonts w:ascii="Book Antiqua" w:hAnsi="Book Antiqua"/>
          <w:sz w:val="20"/>
          <w:szCs w:val="20"/>
        </w:rPr>
        <w:t>Piere</w:t>
      </w:r>
      <w:proofErr w:type="spellEnd"/>
      <w:r w:rsidRPr="000655A8">
        <w:rPr>
          <w:rFonts w:ascii="Book Antiqua" w:hAnsi="Book Antiqua"/>
          <w:sz w:val="20"/>
          <w:szCs w:val="20"/>
        </w:rPr>
        <w:t xml:space="preserve"> and Francois </w:t>
      </w:r>
      <w:proofErr w:type="spellStart"/>
      <w:r w:rsidRPr="000655A8">
        <w:rPr>
          <w:rFonts w:ascii="Book Antiqua" w:hAnsi="Book Antiqua"/>
          <w:sz w:val="20"/>
          <w:szCs w:val="20"/>
        </w:rPr>
        <w:t>Neveux</w:t>
      </w:r>
      <w:proofErr w:type="spellEnd"/>
      <w:r w:rsidRPr="000655A8">
        <w:rPr>
          <w:rFonts w:ascii="Book Antiqua" w:hAnsi="Book Antiqua"/>
          <w:sz w:val="20"/>
          <w:szCs w:val="20"/>
        </w:rPr>
        <w:t xml:space="preserve">. </w:t>
      </w:r>
      <w:r w:rsidRPr="000655A8">
        <w:rPr>
          <w:rFonts w:ascii="Book Antiqua" w:hAnsi="Book Antiqua"/>
          <w:i/>
          <w:iCs/>
          <w:sz w:val="20"/>
          <w:szCs w:val="20"/>
        </w:rPr>
        <w:t xml:space="preserve">The Bayeux Tapestry. </w:t>
      </w:r>
      <w:r w:rsidRPr="000655A8">
        <w:rPr>
          <w:rFonts w:ascii="Book Antiqua" w:hAnsi="Book Antiqua"/>
          <w:sz w:val="20"/>
          <w:szCs w:val="20"/>
        </w:rPr>
        <w:t xml:space="preserve">Editions Ouest-France, 2015. </w:t>
      </w:r>
    </w:p>
    <w:p w14:paraId="23F3EB40" w14:textId="4345A058" w:rsidR="00CA7407" w:rsidRPr="000655A8" w:rsidRDefault="00B94B8A" w:rsidP="00D91363">
      <w:pPr>
        <w:pStyle w:val="ListParagraph"/>
        <w:numPr>
          <w:ilvl w:val="0"/>
          <w:numId w:val="6"/>
        </w:numPr>
        <w:rPr>
          <w:rFonts w:ascii="Book Antiqua" w:hAnsi="Book Antiqua"/>
          <w:sz w:val="20"/>
          <w:szCs w:val="20"/>
        </w:rPr>
      </w:pPr>
      <w:r w:rsidRPr="000655A8">
        <w:rPr>
          <w:rFonts w:ascii="Book Antiqua" w:hAnsi="Book Antiqua"/>
          <w:sz w:val="20"/>
          <w:szCs w:val="20"/>
        </w:rPr>
        <w:t xml:space="preserve">Musset, Lucien. </w:t>
      </w:r>
      <w:r w:rsidRPr="000655A8">
        <w:rPr>
          <w:rFonts w:ascii="Book Antiqua" w:hAnsi="Book Antiqua"/>
          <w:i/>
          <w:sz w:val="20"/>
          <w:szCs w:val="20"/>
        </w:rPr>
        <w:t>The Bayeux Tapestry</w:t>
      </w:r>
      <w:r w:rsidR="00CA7407" w:rsidRPr="000655A8">
        <w:rPr>
          <w:rFonts w:ascii="Book Antiqua" w:hAnsi="Book Antiqua"/>
          <w:sz w:val="20"/>
          <w:szCs w:val="20"/>
        </w:rPr>
        <w:t>, Tr. R.</w:t>
      </w:r>
      <w:r w:rsidRPr="000655A8">
        <w:rPr>
          <w:rFonts w:ascii="Book Antiqua" w:hAnsi="Book Antiqua"/>
          <w:sz w:val="20"/>
          <w:szCs w:val="20"/>
        </w:rPr>
        <w:t xml:space="preserve"> Rex. Woodbridge: The Boydell Press, 2005.</w:t>
      </w:r>
      <w:r w:rsidR="00E94CF0" w:rsidRPr="000655A8">
        <w:rPr>
          <w:rFonts w:ascii="Book Antiqua" w:hAnsi="Book Antiqua"/>
          <w:sz w:val="20"/>
          <w:szCs w:val="20"/>
        </w:rPr>
        <w:t xml:space="preserve"> </w:t>
      </w:r>
    </w:p>
    <w:p w14:paraId="656294B0" w14:textId="49B246B4" w:rsidR="00CA7407" w:rsidRPr="000655A8" w:rsidRDefault="00B94B8A" w:rsidP="00D91363">
      <w:pPr>
        <w:pStyle w:val="ListParagraph"/>
        <w:numPr>
          <w:ilvl w:val="0"/>
          <w:numId w:val="6"/>
        </w:numPr>
        <w:rPr>
          <w:rFonts w:ascii="Book Antiqua" w:hAnsi="Book Antiqua"/>
          <w:sz w:val="20"/>
          <w:szCs w:val="20"/>
        </w:rPr>
      </w:pPr>
      <w:r w:rsidRPr="000655A8">
        <w:rPr>
          <w:rFonts w:ascii="Book Antiqua" w:hAnsi="Book Antiqua"/>
          <w:sz w:val="20"/>
          <w:szCs w:val="20"/>
        </w:rPr>
        <w:t xml:space="preserve">Wilson, David </w:t>
      </w:r>
      <w:proofErr w:type="spellStart"/>
      <w:r w:rsidRPr="000655A8">
        <w:rPr>
          <w:rFonts w:ascii="Book Antiqua" w:hAnsi="Book Antiqua"/>
          <w:sz w:val="20"/>
          <w:szCs w:val="20"/>
        </w:rPr>
        <w:t>MacKenzie</w:t>
      </w:r>
      <w:proofErr w:type="spellEnd"/>
      <w:r w:rsidRPr="000655A8">
        <w:rPr>
          <w:rFonts w:ascii="Book Antiqua" w:hAnsi="Book Antiqua"/>
          <w:sz w:val="20"/>
          <w:szCs w:val="20"/>
        </w:rPr>
        <w:t xml:space="preserve">. </w:t>
      </w:r>
      <w:r w:rsidRPr="000655A8">
        <w:rPr>
          <w:rFonts w:ascii="Book Antiqua" w:hAnsi="Book Antiqua"/>
          <w:i/>
          <w:sz w:val="20"/>
          <w:szCs w:val="20"/>
        </w:rPr>
        <w:t>The Bayeux Tapestry</w:t>
      </w:r>
      <w:r w:rsidRPr="000655A8">
        <w:rPr>
          <w:rFonts w:ascii="Book Antiqua" w:hAnsi="Book Antiqua"/>
          <w:sz w:val="20"/>
          <w:szCs w:val="20"/>
        </w:rPr>
        <w:t>. London. Thames and Hudson, 2005.</w:t>
      </w:r>
    </w:p>
    <w:p w14:paraId="4687107F" w14:textId="77777777" w:rsidR="00B94B8A" w:rsidRPr="000655A8" w:rsidRDefault="00B94B8A" w:rsidP="00B94B8A">
      <w:pPr>
        <w:pStyle w:val="ListParagraph"/>
        <w:numPr>
          <w:ilvl w:val="0"/>
          <w:numId w:val="7"/>
        </w:numPr>
        <w:rPr>
          <w:rFonts w:ascii="Book Antiqua" w:hAnsi="Book Antiqua"/>
          <w:sz w:val="20"/>
          <w:szCs w:val="20"/>
        </w:rPr>
      </w:pPr>
      <w:r w:rsidRPr="000655A8">
        <w:rPr>
          <w:rFonts w:ascii="Book Antiqua" w:hAnsi="Book Antiqua"/>
          <w:sz w:val="20"/>
          <w:szCs w:val="20"/>
        </w:rPr>
        <w:t>Comprehensive bibliography with excellent links:</w:t>
      </w:r>
    </w:p>
    <w:p w14:paraId="38928F49" w14:textId="3F0E9CD7" w:rsidR="00B94B8A" w:rsidRPr="000655A8" w:rsidRDefault="00B94B8A" w:rsidP="00B94B8A">
      <w:pPr>
        <w:rPr>
          <w:rFonts w:ascii="Book Antiqua" w:hAnsi="Book Antiqua"/>
          <w:sz w:val="20"/>
          <w:szCs w:val="20"/>
        </w:rPr>
      </w:pPr>
      <w:r w:rsidRPr="000655A8">
        <w:rPr>
          <w:sz w:val="20"/>
          <w:szCs w:val="20"/>
        </w:rPr>
        <w:tab/>
      </w:r>
      <w:r w:rsidRPr="000655A8">
        <w:rPr>
          <w:sz w:val="20"/>
          <w:szCs w:val="20"/>
        </w:rPr>
        <w:tab/>
      </w:r>
      <w:hyperlink r:id="rId8" w:history="1">
        <w:r w:rsidRPr="000655A8">
          <w:rPr>
            <w:rStyle w:val="Hyperlink"/>
            <w:rFonts w:ascii="Book Antiqua" w:hAnsi="Book Antiqua"/>
            <w:sz w:val="20"/>
            <w:szCs w:val="20"/>
          </w:rPr>
          <w:t>http://users.clas.ufl.edu/burt/middleagesonfilm/bayeux1.html</w:t>
        </w:r>
      </w:hyperlink>
    </w:p>
    <w:p w14:paraId="698FB6EA" w14:textId="77777777" w:rsidR="00B94B8A" w:rsidRPr="000655A8" w:rsidRDefault="00B94B8A" w:rsidP="00B94B8A">
      <w:pPr>
        <w:pStyle w:val="ListParagraph"/>
        <w:numPr>
          <w:ilvl w:val="0"/>
          <w:numId w:val="1"/>
        </w:numPr>
        <w:rPr>
          <w:sz w:val="20"/>
          <w:szCs w:val="20"/>
        </w:rPr>
      </w:pPr>
      <w:r w:rsidRPr="000655A8">
        <w:rPr>
          <w:sz w:val="20"/>
          <w:szCs w:val="20"/>
        </w:rPr>
        <w:t xml:space="preserve">Image of tapestry as hung in cathedral:    </w:t>
      </w:r>
    </w:p>
    <w:p w14:paraId="5E799382" w14:textId="2EA3AEA9" w:rsidR="00B94B8A" w:rsidRPr="000655A8" w:rsidRDefault="001D2F24" w:rsidP="00B94B8A">
      <w:pPr>
        <w:ind w:left="1440"/>
        <w:rPr>
          <w:sz w:val="20"/>
          <w:szCs w:val="20"/>
        </w:rPr>
      </w:pPr>
      <w:hyperlink r:id="rId9" w:history="1">
        <w:r w:rsidR="00B94B8A" w:rsidRPr="000655A8">
          <w:rPr>
            <w:rStyle w:val="Hyperlink"/>
            <w:sz w:val="20"/>
            <w:szCs w:val="20"/>
          </w:rPr>
          <w:t>http://holythequest.com/wp-content/uploads/2016/06/img_0398.jpg</w:t>
        </w:r>
      </w:hyperlink>
    </w:p>
    <w:p w14:paraId="64AB594C" w14:textId="3C806A2C" w:rsidR="00B94B8A" w:rsidRPr="000655A8" w:rsidRDefault="00B94B8A" w:rsidP="000655A8">
      <w:pPr>
        <w:pStyle w:val="ListParagraph"/>
        <w:numPr>
          <w:ilvl w:val="0"/>
          <w:numId w:val="1"/>
        </w:numPr>
        <w:rPr>
          <w:rFonts w:ascii="Book Antiqua" w:hAnsi="Book Antiqua"/>
          <w:b/>
          <w:sz w:val="20"/>
          <w:szCs w:val="20"/>
        </w:rPr>
      </w:pPr>
      <w:r w:rsidRPr="000655A8">
        <w:rPr>
          <w:sz w:val="20"/>
          <w:szCs w:val="20"/>
        </w:rPr>
        <w:t>Scrollable tapestry:</w:t>
      </w:r>
      <w:r w:rsidR="000655A8">
        <w:rPr>
          <w:sz w:val="20"/>
          <w:szCs w:val="20"/>
        </w:rPr>
        <w:t xml:space="preserve"> </w:t>
      </w:r>
      <w:hyperlink r:id="rId10" w:history="1">
        <w:r w:rsidR="000655A8" w:rsidRPr="003F6B9E">
          <w:rPr>
            <w:rStyle w:val="Hyperlink"/>
            <w:sz w:val="20"/>
            <w:szCs w:val="20"/>
          </w:rPr>
          <w:t>http://www.bayeux-tapestry.org.uk</w:t>
        </w:r>
      </w:hyperlink>
    </w:p>
    <w:p w14:paraId="664998DF" w14:textId="0E7ED416" w:rsidR="00B94B8A" w:rsidRPr="000655A8" w:rsidRDefault="00B94B8A" w:rsidP="000655A8">
      <w:pPr>
        <w:pStyle w:val="ListParagraph"/>
        <w:numPr>
          <w:ilvl w:val="0"/>
          <w:numId w:val="1"/>
        </w:numPr>
        <w:rPr>
          <w:sz w:val="20"/>
          <w:szCs w:val="20"/>
        </w:rPr>
      </w:pPr>
      <w:r w:rsidRPr="000655A8">
        <w:rPr>
          <w:sz w:val="20"/>
          <w:szCs w:val="20"/>
        </w:rPr>
        <w:t>Animation (4 min):</w:t>
      </w:r>
      <w:r w:rsidR="000655A8">
        <w:rPr>
          <w:sz w:val="20"/>
          <w:szCs w:val="20"/>
        </w:rPr>
        <w:t xml:space="preserve"> </w:t>
      </w:r>
      <w:hyperlink r:id="rId11" w:history="1">
        <w:r w:rsidR="000655A8" w:rsidRPr="003F6B9E">
          <w:rPr>
            <w:rStyle w:val="Hyperlink"/>
            <w:sz w:val="20"/>
            <w:szCs w:val="20"/>
          </w:rPr>
          <w:t>https://www.youtube.com/watch?v=LtGoBZ4D4_E</w:t>
        </w:r>
      </w:hyperlink>
    </w:p>
    <w:p w14:paraId="307FCF82" w14:textId="428C87F3" w:rsidR="00A0756E" w:rsidRPr="000655A8" w:rsidRDefault="00B94B8A" w:rsidP="000655A8">
      <w:pPr>
        <w:pStyle w:val="ListParagraph"/>
        <w:numPr>
          <w:ilvl w:val="0"/>
          <w:numId w:val="1"/>
        </w:numPr>
        <w:rPr>
          <w:rFonts w:ascii="Book Antiqua" w:hAnsi="Book Antiqua"/>
          <w:sz w:val="20"/>
          <w:szCs w:val="20"/>
        </w:rPr>
      </w:pPr>
      <w:r w:rsidRPr="000655A8">
        <w:rPr>
          <w:rFonts w:ascii="Book Antiqua" w:hAnsi="Book Antiqua"/>
          <w:sz w:val="20"/>
          <w:szCs w:val="20"/>
        </w:rPr>
        <w:t xml:space="preserve">Graphic rendering of battle </w:t>
      </w:r>
      <w:r w:rsidRPr="000655A8">
        <w:rPr>
          <w:sz w:val="20"/>
          <w:szCs w:val="20"/>
        </w:rPr>
        <w:t xml:space="preserve">(11 Min) </w:t>
      </w:r>
      <w:r w:rsidR="000655A8">
        <w:rPr>
          <w:sz w:val="20"/>
          <w:szCs w:val="20"/>
        </w:rPr>
        <w:fldChar w:fldCharType="begin"/>
      </w:r>
      <w:r w:rsidR="000655A8">
        <w:rPr>
          <w:sz w:val="20"/>
          <w:szCs w:val="20"/>
        </w:rPr>
        <w:instrText xml:space="preserve"> HYPERLINK "</w:instrText>
      </w:r>
      <w:r w:rsidR="000655A8" w:rsidRPr="000655A8">
        <w:rPr>
          <w:sz w:val="20"/>
          <w:szCs w:val="20"/>
        </w:rPr>
        <w:instrText>https://www.youtube.com/watch?v=FW4RKp23Z4M</w:instrText>
      </w:r>
      <w:r w:rsidR="000655A8">
        <w:rPr>
          <w:sz w:val="20"/>
          <w:szCs w:val="20"/>
        </w:rPr>
        <w:instrText xml:space="preserve">" </w:instrText>
      </w:r>
      <w:r w:rsidR="000655A8">
        <w:rPr>
          <w:sz w:val="20"/>
          <w:szCs w:val="20"/>
        </w:rPr>
        <w:fldChar w:fldCharType="separate"/>
      </w:r>
      <w:r w:rsidR="000655A8" w:rsidRPr="003F6B9E">
        <w:rPr>
          <w:rStyle w:val="Hyperlink"/>
          <w:sz w:val="20"/>
          <w:szCs w:val="20"/>
        </w:rPr>
        <w:t>https://www.youtube.com/watch?v=FW4RKp23Z4M</w:t>
      </w:r>
      <w:r w:rsidR="000655A8">
        <w:rPr>
          <w:sz w:val="20"/>
          <w:szCs w:val="20"/>
        </w:rPr>
        <w:fldChar w:fldCharType="end"/>
      </w:r>
    </w:p>
    <w:sectPr w:rsidR="00A0756E" w:rsidRPr="000655A8" w:rsidSect="0083589C">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6B338" w14:textId="77777777" w:rsidR="001D2F24" w:rsidRDefault="001D2F24" w:rsidP="00765810">
      <w:r>
        <w:separator/>
      </w:r>
    </w:p>
  </w:endnote>
  <w:endnote w:type="continuationSeparator" w:id="0">
    <w:p w14:paraId="154695B9" w14:textId="77777777" w:rsidR="001D2F24" w:rsidRDefault="001D2F24" w:rsidP="0076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5E61" w14:textId="77777777" w:rsidR="00580DC4" w:rsidRDefault="00580DC4" w:rsidP="00765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58F0B" w14:textId="77777777" w:rsidR="00580DC4" w:rsidRDefault="00580DC4" w:rsidP="007658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B025F" w14:textId="77777777" w:rsidR="00580DC4" w:rsidRDefault="00580DC4" w:rsidP="00765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407">
      <w:rPr>
        <w:rStyle w:val="PageNumber"/>
        <w:noProof/>
      </w:rPr>
      <w:t>1</w:t>
    </w:r>
    <w:r>
      <w:rPr>
        <w:rStyle w:val="PageNumber"/>
      </w:rPr>
      <w:fldChar w:fldCharType="end"/>
    </w:r>
  </w:p>
  <w:p w14:paraId="51AEC8D2" w14:textId="77777777" w:rsidR="00580DC4" w:rsidRDefault="00580DC4" w:rsidP="007658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704E" w14:textId="77777777" w:rsidR="001D2F24" w:rsidRDefault="001D2F24" w:rsidP="00765810">
      <w:r>
        <w:separator/>
      </w:r>
    </w:p>
  </w:footnote>
  <w:footnote w:type="continuationSeparator" w:id="0">
    <w:p w14:paraId="7CFFEFC8" w14:textId="77777777" w:rsidR="001D2F24" w:rsidRDefault="001D2F24" w:rsidP="00765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194"/>
    <w:multiLevelType w:val="hybridMultilevel"/>
    <w:tmpl w:val="5B16B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96D9D"/>
    <w:multiLevelType w:val="hybridMultilevel"/>
    <w:tmpl w:val="E4508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55E7117"/>
    <w:multiLevelType w:val="hybridMultilevel"/>
    <w:tmpl w:val="F684C8C4"/>
    <w:lvl w:ilvl="0" w:tplc="CFB83F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12888"/>
    <w:multiLevelType w:val="hybridMultilevel"/>
    <w:tmpl w:val="F9B096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151180"/>
    <w:multiLevelType w:val="hybridMultilevel"/>
    <w:tmpl w:val="010EC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D2124B"/>
    <w:multiLevelType w:val="hybridMultilevel"/>
    <w:tmpl w:val="3ED4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460E3"/>
    <w:multiLevelType w:val="hybridMultilevel"/>
    <w:tmpl w:val="30DCE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4E6608"/>
    <w:multiLevelType w:val="hybridMultilevel"/>
    <w:tmpl w:val="7E5AA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130FAD"/>
    <w:multiLevelType w:val="hybridMultilevel"/>
    <w:tmpl w:val="36D87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EB7F3B"/>
    <w:multiLevelType w:val="hybridMultilevel"/>
    <w:tmpl w:val="7466D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D4C7B"/>
    <w:multiLevelType w:val="hybridMultilevel"/>
    <w:tmpl w:val="BCB2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3"/>
  </w:num>
  <w:num w:numId="6">
    <w:abstractNumId w:val="9"/>
  </w:num>
  <w:num w:numId="7">
    <w:abstractNumId w:val="10"/>
  </w:num>
  <w:num w:numId="8">
    <w:abstractNumId w:val="2"/>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032"/>
    <w:rsid w:val="0001698D"/>
    <w:rsid w:val="000214AC"/>
    <w:rsid w:val="000655A8"/>
    <w:rsid w:val="00074A99"/>
    <w:rsid w:val="00092EAF"/>
    <w:rsid w:val="000A6218"/>
    <w:rsid w:val="000D44FA"/>
    <w:rsid w:val="00147ED6"/>
    <w:rsid w:val="001829E5"/>
    <w:rsid w:val="001830CC"/>
    <w:rsid w:val="001D2F24"/>
    <w:rsid w:val="001D599F"/>
    <w:rsid w:val="001E57C0"/>
    <w:rsid w:val="001F6B21"/>
    <w:rsid w:val="001F6DE3"/>
    <w:rsid w:val="0020009C"/>
    <w:rsid w:val="00215515"/>
    <w:rsid w:val="00226E2F"/>
    <w:rsid w:val="00280DBE"/>
    <w:rsid w:val="002907D0"/>
    <w:rsid w:val="002A3EC3"/>
    <w:rsid w:val="002B4DD8"/>
    <w:rsid w:val="002B698D"/>
    <w:rsid w:val="002C6CE3"/>
    <w:rsid w:val="002D32C0"/>
    <w:rsid w:val="002F0033"/>
    <w:rsid w:val="003123BE"/>
    <w:rsid w:val="0031750F"/>
    <w:rsid w:val="003409C6"/>
    <w:rsid w:val="00361B6B"/>
    <w:rsid w:val="003858FC"/>
    <w:rsid w:val="003A2DDB"/>
    <w:rsid w:val="003C113E"/>
    <w:rsid w:val="00400F1F"/>
    <w:rsid w:val="00405828"/>
    <w:rsid w:val="00413567"/>
    <w:rsid w:val="00426897"/>
    <w:rsid w:val="00460F45"/>
    <w:rsid w:val="00466DD6"/>
    <w:rsid w:val="00477086"/>
    <w:rsid w:val="00480B85"/>
    <w:rsid w:val="004C00E2"/>
    <w:rsid w:val="005046F9"/>
    <w:rsid w:val="0051263A"/>
    <w:rsid w:val="00534EC2"/>
    <w:rsid w:val="00580DC4"/>
    <w:rsid w:val="00585B26"/>
    <w:rsid w:val="005D09C1"/>
    <w:rsid w:val="005F77D2"/>
    <w:rsid w:val="0061592B"/>
    <w:rsid w:val="00660DDA"/>
    <w:rsid w:val="006700A9"/>
    <w:rsid w:val="00673D7D"/>
    <w:rsid w:val="0068336A"/>
    <w:rsid w:val="0068500E"/>
    <w:rsid w:val="006A1170"/>
    <w:rsid w:val="006A5310"/>
    <w:rsid w:val="006A5E93"/>
    <w:rsid w:val="006D3BA5"/>
    <w:rsid w:val="006E31E4"/>
    <w:rsid w:val="0071213E"/>
    <w:rsid w:val="00752E3B"/>
    <w:rsid w:val="00752ECD"/>
    <w:rsid w:val="00753897"/>
    <w:rsid w:val="00765810"/>
    <w:rsid w:val="00784BD7"/>
    <w:rsid w:val="007A1E7D"/>
    <w:rsid w:val="007D54BD"/>
    <w:rsid w:val="0080431A"/>
    <w:rsid w:val="0083589C"/>
    <w:rsid w:val="00855486"/>
    <w:rsid w:val="008A0BBD"/>
    <w:rsid w:val="008D60E6"/>
    <w:rsid w:val="008D69D8"/>
    <w:rsid w:val="009129A7"/>
    <w:rsid w:val="0093385B"/>
    <w:rsid w:val="00962BAA"/>
    <w:rsid w:val="00974F27"/>
    <w:rsid w:val="00997FD2"/>
    <w:rsid w:val="009A472F"/>
    <w:rsid w:val="00A0756E"/>
    <w:rsid w:val="00A126EB"/>
    <w:rsid w:val="00A329AD"/>
    <w:rsid w:val="00A52FB9"/>
    <w:rsid w:val="00A65352"/>
    <w:rsid w:val="00AA68D0"/>
    <w:rsid w:val="00AB17AC"/>
    <w:rsid w:val="00AB73FC"/>
    <w:rsid w:val="00AD5358"/>
    <w:rsid w:val="00B14FD6"/>
    <w:rsid w:val="00B16485"/>
    <w:rsid w:val="00B21563"/>
    <w:rsid w:val="00B66153"/>
    <w:rsid w:val="00B76B14"/>
    <w:rsid w:val="00B94B8A"/>
    <w:rsid w:val="00BB7C87"/>
    <w:rsid w:val="00BE7585"/>
    <w:rsid w:val="00C17BD5"/>
    <w:rsid w:val="00C34CFF"/>
    <w:rsid w:val="00C439CB"/>
    <w:rsid w:val="00C6544C"/>
    <w:rsid w:val="00C758B1"/>
    <w:rsid w:val="00C82E73"/>
    <w:rsid w:val="00C9616E"/>
    <w:rsid w:val="00CA7407"/>
    <w:rsid w:val="00CC404C"/>
    <w:rsid w:val="00CD09C1"/>
    <w:rsid w:val="00CD6E56"/>
    <w:rsid w:val="00CF3558"/>
    <w:rsid w:val="00D00082"/>
    <w:rsid w:val="00D04F23"/>
    <w:rsid w:val="00D34446"/>
    <w:rsid w:val="00D43A53"/>
    <w:rsid w:val="00D63156"/>
    <w:rsid w:val="00D83C88"/>
    <w:rsid w:val="00D91363"/>
    <w:rsid w:val="00DB31E3"/>
    <w:rsid w:val="00DC064D"/>
    <w:rsid w:val="00DC2E92"/>
    <w:rsid w:val="00DE3997"/>
    <w:rsid w:val="00DE642D"/>
    <w:rsid w:val="00E05589"/>
    <w:rsid w:val="00E20B0D"/>
    <w:rsid w:val="00E21A12"/>
    <w:rsid w:val="00E36A6A"/>
    <w:rsid w:val="00E5438F"/>
    <w:rsid w:val="00E82E94"/>
    <w:rsid w:val="00E86FC0"/>
    <w:rsid w:val="00E9322B"/>
    <w:rsid w:val="00E94CF0"/>
    <w:rsid w:val="00EE034F"/>
    <w:rsid w:val="00EE734D"/>
    <w:rsid w:val="00F164E7"/>
    <w:rsid w:val="00F53032"/>
    <w:rsid w:val="00F612AA"/>
    <w:rsid w:val="00F72455"/>
    <w:rsid w:val="00F72B36"/>
    <w:rsid w:val="00F9226D"/>
    <w:rsid w:val="00FA5A08"/>
    <w:rsid w:val="00FB6BB8"/>
    <w:rsid w:val="00FD3FCF"/>
    <w:rsid w:val="00FE6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FF698"/>
  <w14:defaultImageDpi w14:val="300"/>
  <w15:docId w15:val="{F846FDB3-1DEB-A144-9AAF-07186152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6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34F"/>
    <w:rPr>
      <w:color w:val="0000FF"/>
      <w:u w:val="single"/>
    </w:rPr>
  </w:style>
  <w:style w:type="paragraph" w:styleId="ListParagraph">
    <w:name w:val="List Paragraph"/>
    <w:basedOn w:val="Normal"/>
    <w:uiPriority w:val="34"/>
    <w:qFormat/>
    <w:rsid w:val="001F6DE3"/>
    <w:pPr>
      <w:ind w:left="720"/>
      <w:contextualSpacing/>
    </w:pPr>
  </w:style>
  <w:style w:type="character" w:styleId="FollowedHyperlink">
    <w:name w:val="FollowedHyperlink"/>
    <w:basedOn w:val="DefaultParagraphFont"/>
    <w:uiPriority w:val="99"/>
    <w:semiHidden/>
    <w:unhideWhenUsed/>
    <w:rsid w:val="00E05589"/>
    <w:rPr>
      <w:color w:val="800080" w:themeColor="followedHyperlink"/>
      <w:u w:val="single"/>
    </w:rPr>
  </w:style>
  <w:style w:type="paragraph" w:styleId="Footer">
    <w:name w:val="footer"/>
    <w:basedOn w:val="Normal"/>
    <w:link w:val="FooterChar"/>
    <w:uiPriority w:val="99"/>
    <w:unhideWhenUsed/>
    <w:rsid w:val="00765810"/>
    <w:pPr>
      <w:tabs>
        <w:tab w:val="center" w:pos="4320"/>
        <w:tab w:val="right" w:pos="8640"/>
      </w:tabs>
    </w:pPr>
  </w:style>
  <w:style w:type="character" w:customStyle="1" w:styleId="FooterChar">
    <w:name w:val="Footer Char"/>
    <w:basedOn w:val="DefaultParagraphFont"/>
    <w:link w:val="Footer"/>
    <w:uiPriority w:val="99"/>
    <w:rsid w:val="00765810"/>
  </w:style>
  <w:style w:type="character" w:styleId="PageNumber">
    <w:name w:val="page number"/>
    <w:basedOn w:val="DefaultParagraphFont"/>
    <w:uiPriority w:val="99"/>
    <w:semiHidden/>
    <w:unhideWhenUsed/>
    <w:rsid w:val="00765810"/>
  </w:style>
  <w:style w:type="character" w:styleId="UnresolvedMention">
    <w:name w:val="Unresolved Mention"/>
    <w:basedOn w:val="DefaultParagraphFont"/>
    <w:uiPriority w:val="99"/>
    <w:semiHidden/>
    <w:unhideWhenUsed/>
    <w:rsid w:val="00065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clas.ufl.edu/burt/middleagesonfilm/bayeux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usannedumblet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tGoBZ4D4_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yeux-tapestry.org.uk" TargetMode="External"/><Relationship Id="rId4" Type="http://schemas.openxmlformats.org/officeDocument/2006/relationships/webSettings" Target="webSettings.xml"/><Relationship Id="rId9" Type="http://schemas.openxmlformats.org/officeDocument/2006/relationships/hyperlink" Target="http://holythequest.com/wp-content/uploads/2016/06/img_0398.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DePaul University</Company>
  <LinksUpToDate>false</LinksUpToDate>
  <CharactersWithSpaces>4922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Dumbleton</dc:creator>
  <cp:keywords/>
  <dc:description/>
  <cp:lastModifiedBy>Dumbleton, Susanne</cp:lastModifiedBy>
  <cp:revision>2</cp:revision>
  <cp:lastPrinted>2021-05-09T21:52:00Z</cp:lastPrinted>
  <dcterms:created xsi:type="dcterms:W3CDTF">2021-05-10T13:33:00Z</dcterms:created>
  <dcterms:modified xsi:type="dcterms:W3CDTF">2021-05-10T13:33:00Z</dcterms:modified>
  <cp:category/>
</cp:coreProperties>
</file>