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37EC" w14:textId="21003A81" w:rsidR="0036089E" w:rsidRDefault="0036089E" w:rsidP="00BD1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Literature of War: </w:t>
      </w:r>
      <w:r w:rsidR="00246D2E">
        <w:rPr>
          <w:b/>
          <w:sz w:val="28"/>
          <w:szCs w:val="28"/>
        </w:rPr>
        <w:t xml:space="preserve">World War I and Now </w:t>
      </w:r>
    </w:p>
    <w:p w14:paraId="6A52D10F" w14:textId="3CD94854" w:rsidR="000F6D38" w:rsidRPr="00043ABF" w:rsidRDefault="000F6D38" w:rsidP="00BD1D40">
      <w:pPr>
        <w:jc w:val="center"/>
        <w:rPr>
          <w:sz w:val="20"/>
          <w:szCs w:val="20"/>
        </w:rPr>
      </w:pPr>
      <w:r w:rsidRPr="00043ABF">
        <w:rPr>
          <w:sz w:val="20"/>
          <w:szCs w:val="20"/>
        </w:rPr>
        <w:t>Fall 2018</w:t>
      </w:r>
    </w:p>
    <w:p w14:paraId="062B0E89" w14:textId="23B6A15A" w:rsidR="000F6D38" w:rsidRPr="00043ABF" w:rsidRDefault="000F6D38" w:rsidP="00BD1D40">
      <w:pPr>
        <w:jc w:val="center"/>
        <w:rPr>
          <w:sz w:val="20"/>
          <w:szCs w:val="20"/>
        </w:rPr>
      </w:pPr>
      <w:r w:rsidRPr="00043ABF">
        <w:rPr>
          <w:sz w:val="20"/>
          <w:szCs w:val="20"/>
        </w:rPr>
        <w:t>Newberry Library</w:t>
      </w:r>
    </w:p>
    <w:p w14:paraId="76B89EF2" w14:textId="3058C1DA" w:rsidR="000F6D38" w:rsidRPr="00043ABF" w:rsidRDefault="000F6D38" w:rsidP="00BD1D40">
      <w:pPr>
        <w:jc w:val="center"/>
        <w:rPr>
          <w:sz w:val="20"/>
          <w:szCs w:val="20"/>
        </w:rPr>
      </w:pPr>
      <w:r w:rsidRPr="00043ABF">
        <w:rPr>
          <w:sz w:val="20"/>
          <w:szCs w:val="20"/>
        </w:rPr>
        <w:t>Susanne Dumbleton</w:t>
      </w:r>
    </w:p>
    <w:p w14:paraId="4C177462" w14:textId="6D09C7E4" w:rsidR="0053049A" w:rsidRPr="00043ABF" w:rsidRDefault="0053049A" w:rsidP="00BD1D40">
      <w:pPr>
        <w:jc w:val="center"/>
        <w:rPr>
          <w:sz w:val="20"/>
          <w:szCs w:val="20"/>
        </w:rPr>
      </w:pPr>
      <w:r w:rsidRPr="00043ABF">
        <w:rPr>
          <w:sz w:val="20"/>
          <w:szCs w:val="20"/>
        </w:rPr>
        <w:t>Week 1</w:t>
      </w:r>
      <w:r w:rsidR="00043ABF">
        <w:rPr>
          <w:sz w:val="20"/>
          <w:szCs w:val="20"/>
        </w:rPr>
        <w:t xml:space="preserve"> (October 9)</w:t>
      </w:r>
    </w:p>
    <w:p w14:paraId="6775C700" w14:textId="77777777" w:rsidR="00021284" w:rsidRDefault="00021284"/>
    <w:p w14:paraId="6A5D7350" w14:textId="77777777" w:rsidR="00AD10C1" w:rsidRDefault="00AD10C1">
      <w:pPr>
        <w:rPr>
          <w:u w:val="single"/>
        </w:rPr>
      </w:pPr>
    </w:p>
    <w:p w14:paraId="37089E18" w14:textId="4DB5E60C" w:rsidR="00E32ACD" w:rsidRDefault="00BD1D40">
      <w:pPr>
        <w:rPr>
          <w:u w:val="single"/>
        </w:rPr>
      </w:pPr>
      <w:r w:rsidRPr="00BD1D40">
        <w:rPr>
          <w:u w:val="single"/>
        </w:rPr>
        <w:t>The Arc of the Course</w:t>
      </w:r>
    </w:p>
    <w:p w14:paraId="7764FD7E" w14:textId="5D5BD642" w:rsidR="0036089E" w:rsidRPr="008E56C6" w:rsidRDefault="0036089E">
      <w:pPr>
        <w:rPr>
          <w:i/>
          <w:sz w:val="20"/>
          <w:szCs w:val="20"/>
        </w:rPr>
      </w:pPr>
      <w:r w:rsidRPr="008E56C6">
        <w:rPr>
          <w:i/>
          <w:sz w:val="20"/>
          <w:szCs w:val="20"/>
        </w:rPr>
        <w:t>The experience of war has inspired artists across human history</w:t>
      </w:r>
      <w:r w:rsidR="000C71A5" w:rsidRPr="008E56C6">
        <w:rPr>
          <w:i/>
          <w:sz w:val="20"/>
          <w:szCs w:val="20"/>
        </w:rPr>
        <w:t>, who</w:t>
      </w:r>
      <w:r w:rsidRPr="008E56C6">
        <w:rPr>
          <w:i/>
          <w:sz w:val="20"/>
          <w:szCs w:val="20"/>
        </w:rPr>
        <w:t xml:space="preserve"> record its pains and glo</w:t>
      </w:r>
      <w:r w:rsidR="00BC0B5D" w:rsidRPr="008E56C6">
        <w:rPr>
          <w:i/>
          <w:sz w:val="20"/>
          <w:szCs w:val="20"/>
        </w:rPr>
        <w:t>ries</w:t>
      </w:r>
      <w:r w:rsidR="006A1B73" w:rsidRPr="008E56C6">
        <w:rPr>
          <w:i/>
          <w:sz w:val="20"/>
          <w:szCs w:val="20"/>
        </w:rPr>
        <w:t xml:space="preserve"> and puzzle out its meaning</w:t>
      </w:r>
      <w:r w:rsidRPr="008E56C6">
        <w:rPr>
          <w:i/>
          <w:sz w:val="20"/>
          <w:szCs w:val="20"/>
        </w:rPr>
        <w:t xml:space="preserve">. </w:t>
      </w:r>
      <w:r w:rsidR="005A5697" w:rsidRPr="008E56C6">
        <w:rPr>
          <w:i/>
          <w:sz w:val="20"/>
          <w:szCs w:val="20"/>
        </w:rPr>
        <w:t>In these months</w:t>
      </w:r>
      <w:r w:rsidRPr="008E56C6">
        <w:rPr>
          <w:i/>
          <w:sz w:val="20"/>
          <w:szCs w:val="20"/>
        </w:rPr>
        <w:t xml:space="preserve"> that mark the 100</w:t>
      </w:r>
      <w:r w:rsidRPr="008E56C6">
        <w:rPr>
          <w:i/>
          <w:sz w:val="20"/>
          <w:szCs w:val="20"/>
          <w:vertAlign w:val="superscript"/>
        </w:rPr>
        <w:t>th</w:t>
      </w:r>
      <w:r w:rsidR="000C66AF" w:rsidRPr="008E56C6">
        <w:rPr>
          <w:i/>
          <w:sz w:val="20"/>
          <w:szCs w:val="20"/>
        </w:rPr>
        <w:t xml:space="preserve"> anniversary of the </w:t>
      </w:r>
      <w:r w:rsidRPr="008E56C6">
        <w:rPr>
          <w:i/>
          <w:sz w:val="20"/>
          <w:szCs w:val="20"/>
        </w:rPr>
        <w:t>e</w:t>
      </w:r>
      <w:r w:rsidR="000C66AF" w:rsidRPr="008E56C6">
        <w:rPr>
          <w:i/>
          <w:sz w:val="20"/>
          <w:szCs w:val="20"/>
        </w:rPr>
        <w:t>nd of</w:t>
      </w:r>
      <w:r w:rsidRPr="008E56C6">
        <w:rPr>
          <w:i/>
          <w:sz w:val="20"/>
          <w:szCs w:val="20"/>
        </w:rPr>
        <w:t xml:space="preserve"> World War I</w:t>
      </w:r>
      <w:r w:rsidR="00246D2E" w:rsidRPr="008E56C6">
        <w:rPr>
          <w:i/>
          <w:sz w:val="20"/>
          <w:szCs w:val="20"/>
        </w:rPr>
        <w:t>, we will study some of the masterpieces</w:t>
      </w:r>
      <w:r w:rsidR="005A5697" w:rsidRPr="008E56C6">
        <w:rPr>
          <w:i/>
          <w:sz w:val="20"/>
          <w:szCs w:val="20"/>
        </w:rPr>
        <w:t xml:space="preserve"> created by men and women</w:t>
      </w:r>
      <w:r w:rsidR="000C71A5" w:rsidRPr="008E56C6">
        <w:rPr>
          <w:i/>
          <w:sz w:val="20"/>
          <w:szCs w:val="20"/>
        </w:rPr>
        <w:t xml:space="preserve"> who lived that war</w:t>
      </w:r>
      <w:r w:rsidR="00BC0B5D" w:rsidRPr="008E56C6">
        <w:rPr>
          <w:i/>
          <w:sz w:val="20"/>
          <w:szCs w:val="20"/>
        </w:rPr>
        <w:t>,</w:t>
      </w:r>
      <w:r w:rsidR="000C66AF" w:rsidRPr="008E56C6">
        <w:rPr>
          <w:i/>
          <w:sz w:val="20"/>
          <w:szCs w:val="20"/>
        </w:rPr>
        <w:t xml:space="preserve"> then </w:t>
      </w:r>
      <w:r w:rsidR="006A1B73" w:rsidRPr="008E56C6">
        <w:rPr>
          <w:i/>
          <w:sz w:val="20"/>
          <w:szCs w:val="20"/>
        </w:rPr>
        <w:t xml:space="preserve">open </w:t>
      </w:r>
      <w:r w:rsidR="00BC0B5D" w:rsidRPr="008E56C6">
        <w:rPr>
          <w:i/>
          <w:sz w:val="20"/>
          <w:szCs w:val="20"/>
        </w:rPr>
        <w:t>some superb</w:t>
      </w:r>
      <w:r w:rsidR="000C66AF" w:rsidRPr="008E56C6">
        <w:rPr>
          <w:i/>
          <w:sz w:val="20"/>
          <w:szCs w:val="20"/>
        </w:rPr>
        <w:t xml:space="preserve"> </w:t>
      </w:r>
      <w:r w:rsidR="000C71A5" w:rsidRPr="008E56C6">
        <w:rPr>
          <w:i/>
          <w:sz w:val="20"/>
          <w:szCs w:val="20"/>
        </w:rPr>
        <w:t xml:space="preserve">contemporary </w:t>
      </w:r>
      <w:r w:rsidRPr="008E56C6">
        <w:rPr>
          <w:i/>
          <w:sz w:val="20"/>
          <w:szCs w:val="20"/>
        </w:rPr>
        <w:t>work</w:t>
      </w:r>
      <w:r w:rsidR="00BC0B5D" w:rsidRPr="008E56C6">
        <w:rPr>
          <w:i/>
          <w:sz w:val="20"/>
          <w:szCs w:val="20"/>
        </w:rPr>
        <w:t>s that define</w:t>
      </w:r>
      <w:r w:rsidRPr="008E56C6">
        <w:rPr>
          <w:i/>
          <w:sz w:val="20"/>
          <w:szCs w:val="20"/>
        </w:rPr>
        <w:t xml:space="preserve"> </w:t>
      </w:r>
      <w:r w:rsidR="003962A8" w:rsidRPr="008E56C6">
        <w:rPr>
          <w:i/>
          <w:sz w:val="20"/>
          <w:szCs w:val="20"/>
        </w:rPr>
        <w:t xml:space="preserve">struggles in our own time. </w:t>
      </w:r>
      <w:r w:rsidR="000C71A5" w:rsidRPr="008E56C6">
        <w:rPr>
          <w:i/>
          <w:sz w:val="20"/>
          <w:szCs w:val="20"/>
        </w:rPr>
        <w:t xml:space="preserve">Throughout we will ask </w:t>
      </w:r>
      <w:r w:rsidR="00271242" w:rsidRPr="008E56C6">
        <w:rPr>
          <w:i/>
          <w:sz w:val="20"/>
          <w:szCs w:val="20"/>
        </w:rPr>
        <w:t xml:space="preserve">whether </w:t>
      </w:r>
      <w:r w:rsidR="00BC0B5D" w:rsidRPr="008E56C6">
        <w:rPr>
          <w:i/>
          <w:sz w:val="20"/>
          <w:szCs w:val="20"/>
        </w:rPr>
        <w:t xml:space="preserve">the </w:t>
      </w:r>
      <w:r w:rsidR="00271242" w:rsidRPr="008E56C6">
        <w:rPr>
          <w:i/>
          <w:sz w:val="20"/>
          <w:szCs w:val="20"/>
        </w:rPr>
        <w:t xml:space="preserve">ideas beneath these works are </w:t>
      </w:r>
      <w:r w:rsidRPr="008E56C6">
        <w:rPr>
          <w:i/>
          <w:sz w:val="20"/>
          <w:szCs w:val="20"/>
        </w:rPr>
        <w:t xml:space="preserve">universal </w:t>
      </w:r>
      <w:r w:rsidR="00BC0B5D" w:rsidRPr="008E56C6">
        <w:rPr>
          <w:i/>
          <w:sz w:val="20"/>
          <w:szCs w:val="20"/>
        </w:rPr>
        <w:t>to the human experience or particul</w:t>
      </w:r>
      <w:r w:rsidR="00436AEE" w:rsidRPr="008E56C6">
        <w:rPr>
          <w:i/>
          <w:sz w:val="20"/>
          <w:szCs w:val="20"/>
        </w:rPr>
        <w:t>ar to a given time or conflict.</w:t>
      </w:r>
    </w:p>
    <w:p w14:paraId="0101C2CF" w14:textId="77777777" w:rsidR="00F972B5" w:rsidRDefault="00F972B5"/>
    <w:p w14:paraId="6EDF73A7" w14:textId="4919A36E" w:rsidR="00696690" w:rsidRPr="008E56C6" w:rsidRDefault="00F972B5" w:rsidP="003679AA">
      <w:pPr>
        <w:rPr>
          <w:sz w:val="22"/>
          <w:szCs w:val="22"/>
        </w:rPr>
      </w:pPr>
      <w:r w:rsidRPr="00043ABF">
        <w:rPr>
          <w:sz w:val="22"/>
          <w:szCs w:val="22"/>
          <w:u w:val="single"/>
        </w:rPr>
        <w:t>Week I</w:t>
      </w:r>
      <w:r w:rsidR="00DC434F" w:rsidRPr="00043ABF">
        <w:rPr>
          <w:sz w:val="22"/>
          <w:szCs w:val="22"/>
        </w:rPr>
        <w:t>:</w:t>
      </w:r>
      <w:r w:rsidR="00DC434F" w:rsidRPr="00043ABF">
        <w:rPr>
          <w:sz w:val="22"/>
          <w:szCs w:val="22"/>
          <w:u w:val="single"/>
        </w:rPr>
        <w:t xml:space="preserve"> </w:t>
      </w:r>
      <w:r w:rsidR="00310170" w:rsidRPr="00043ABF">
        <w:rPr>
          <w:sz w:val="22"/>
          <w:szCs w:val="22"/>
          <w:u w:val="single"/>
        </w:rPr>
        <w:t>Enthusiasm</w:t>
      </w:r>
      <w:r w:rsidR="00271242" w:rsidRPr="00043ABF">
        <w:rPr>
          <w:sz w:val="22"/>
          <w:szCs w:val="22"/>
          <w:u w:val="single"/>
        </w:rPr>
        <w:t xml:space="preserve"> and the Quest for Glory</w:t>
      </w:r>
      <w:r w:rsidR="00FF27CF" w:rsidRPr="00043ABF">
        <w:rPr>
          <w:sz w:val="22"/>
          <w:szCs w:val="22"/>
        </w:rPr>
        <w:t>.</w:t>
      </w:r>
    </w:p>
    <w:p w14:paraId="0F9343F3" w14:textId="77777777" w:rsidR="00B711D1" w:rsidRPr="008E56C6" w:rsidRDefault="00B711D1" w:rsidP="003679AA">
      <w:pPr>
        <w:rPr>
          <w:sz w:val="22"/>
          <w:szCs w:val="22"/>
        </w:rPr>
      </w:pPr>
    </w:p>
    <w:p w14:paraId="21B4A01B" w14:textId="7619C5F3" w:rsidR="00E50D66" w:rsidRPr="008E56C6" w:rsidRDefault="005B05FC" w:rsidP="003679AA">
      <w:pPr>
        <w:rPr>
          <w:sz w:val="22"/>
          <w:szCs w:val="22"/>
        </w:rPr>
      </w:pPr>
      <w:r w:rsidRPr="008E56C6">
        <w:rPr>
          <w:sz w:val="22"/>
          <w:szCs w:val="22"/>
        </w:rPr>
        <w:t>Welcome</w:t>
      </w:r>
    </w:p>
    <w:p w14:paraId="21109BCF" w14:textId="77777777" w:rsidR="00E50D66" w:rsidRPr="008E56C6" w:rsidRDefault="00E50D66" w:rsidP="003679AA">
      <w:pPr>
        <w:rPr>
          <w:sz w:val="22"/>
          <w:szCs w:val="22"/>
        </w:rPr>
      </w:pPr>
    </w:p>
    <w:p w14:paraId="3E5C2E60" w14:textId="77777777" w:rsidR="00E50D66" w:rsidRPr="008E56C6" w:rsidRDefault="00E50D66" w:rsidP="003679AA">
      <w:pPr>
        <w:rPr>
          <w:sz w:val="22"/>
          <w:szCs w:val="22"/>
        </w:rPr>
      </w:pPr>
      <w:r w:rsidRPr="008E56C6">
        <w:rPr>
          <w:sz w:val="22"/>
          <w:szCs w:val="22"/>
        </w:rPr>
        <w:t>Rationale for the course</w:t>
      </w:r>
    </w:p>
    <w:p w14:paraId="5E758085" w14:textId="77777777" w:rsidR="00E50D66" w:rsidRPr="008E56C6" w:rsidRDefault="00E50D66" w:rsidP="003679AA">
      <w:pPr>
        <w:rPr>
          <w:sz w:val="22"/>
          <w:szCs w:val="22"/>
        </w:rPr>
      </w:pPr>
    </w:p>
    <w:p w14:paraId="452AFD9C" w14:textId="3DD8526E" w:rsidR="005B05FC" w:rsidRPr="008E56C6" w:rsidRDefault="00E50D66" w:rsidP="003679AA">
      <w:pPr>
        <w:rPr>
          <w:sz w:val="22"/>
          <w:szCs w:val="22"/>
        </w:rPr>
      </w:pPr>
      <w:r w:rsidRPr="008E56C6">
        <w:rPr>
          <w:sz w:val="22"/>
          <w:szCs w:val="22"/>
        </w:rPr>
        <w:t>Our approach: Syllabus</w:t>
      </w:r>
      <w:r w:rsidR="008E56C6" w:rsidRPr="008E56C6">
        <w:rPr>
          <w:sz w:val="22"/>
          <w:szCs w:val="22"/>
        </w:rPr>
        <w:t xml:space="preserve">, </w:t>
      </w:r>
      <w:r w:rsidR="005B05FC" w:rsidRPr="008E56C6">
        <w:rPr>
          <w:sz w:val="22"/>
          <w:szCs w:val="22"/>
        </w:rPr>
        <w:t xml:space="preserve">Website </w:t>
      </w:r>
      <w:r w:rsidR="00043ABF">
        <w:rPr>
          <w:sz w:val="22"/>
          <w:szCs w:val="22"/>
        </w:rPr>
        <w:t>(</w:t>
      </w:r>
      <w:r w:rsidR="005B05FC" w:rsidRPr="008E56C6">
        <w:rPr>
          <w:sz w:val="22"/>
          <w:szCs w:val="22"/>
        </w:rPr>
        <w:t>and invitation</w:t>
      </w:r>
      <w:r w:rsidR="00043ABF">
        <w:rPr>
          <w:sz w:val="22"/>
          <w:szCs w:val="22"/>
        </w:rPr>
        <w:t>)</w:t>
      </w:r>
    </w:p>
    <w:p w14:paraId="4EBDB557" w14:textId="77777777" w:rsidR="00E50D66" w:rsidRPr="008E56C6" w:rsidRDefault="00E50D66" w:rsidP="003679AA">
      <w:pPr>
        <w:rPr>
          <w:sz w:val="22"/>
          <w:szCs w:val="22"/>
        </w:rPr>
      </w:pPr>
    </w:p>
    <w:p w14:paraId="3B7A50AB" w14:textId="55CBE8F9" w:rsidR="00E50D66" w:rsidRPr="008E56C6" w:rsidRDefault="005B05FC" w:rsidP="003679AA">
      <w:pPr>
        <w:rPr>
          <w:sz w:val="22"/>
          <w:szCs w:val="22"/>
        </w:rPr>
      </w:pPr>
      <w:r w:rsidRPr="008E56C6">
        <w:rPr>
          <w:sz w:val="22"/>
          <w:szCs w:val="22"/>
        </w:rPr>
        <w:t>Introductions: What does each of us bring?</w:t>
      </w:r>
    </w:p>
    <w:p w14:paraId="0AB56F4D" w14:textId="77777777" w:rsidR="005B05FC" w:rsidRPr="008E56C6" w:rsidRDefault="005B05FC" w:rsidP="003679AA">
      <w:pPr>
        <w:rPr>
          <w:sz w:val="22"/>
          <w:szCs w:val="22"/>
        </w:rPr>
      </w:pPr>
    </w:p>
    <w:p w14:paraId="0ECED602" w14:textId="77777777" w:rsidR="00E10183" w:rsidRDefault="008E56C6" w:rsidP="00E10183">
      <w:pPr>
        <w:rPr>
          <w:sz w:val="22"/>
          <w:szCs w:val="22"/>
        </w:rPr>
      </w:pPr>
      <w:r w:rsidRPr="008E56C6">
        <w:rPr>
          <w:sz w:val="22"/>
          <w:szCs w:val="22"/>
        </w:rPr>
        <w:t>BACKGROUND</w:t>
      </w:r>
      <w:r w:rsidR="00AD10C1">
        <w:rPr>
          <w:sz w:val="22"/>
          <w:szCs w:val="22"/>
        </w:rPr>
        <w:t>:</w:t>
      </w:r>
      <w:r w:rsidRPr="008E56C6">
        <w:rPr>
          <w:sz w:val="22"/>
          <w:szCs w:val="22"/>
        </w:rPr>
        <w:t xml:space="preserve"> </w:t>
      </w:r>
      <w:r w:rsidR="00E10183" w:rsidRPr="00E10183">
        <w:rPr>
          <w:i/>
          <w:sz w:val="22"/>
          <w:szCs w:val="22"/>
        </w:rPr>
        <w:t>(</w:t>
      </w:r>
      <w:r w:rsidR="005B05FC" w:rsidRPr="00E10183">
        <w:rPr>
          <w:i/>
          <w:sz w:val="22"/>
          <w:szCs w:val="22"/>
        </w:rPr>
        <w:t>What do you remember?</w:t>
      </w:r>
      <w:r w:rsidR="00E10183" w:rsidRPr="00E10183">
        <w:rPr>
          <w:i/>
          <w:sz w:val="22"/>
          <w:szCs w:val="22"/>
        </w:rPr>
        <w:t>)</w:t>
      </w:r>
    </w:p>
    <w:p w14:paraId="5DF33BB1" w14:textId="2FF4B9B5" w:rsidR="005B05FC" w:rsidRPr="008E56C6" w:rsidRDefault="00E10183" w:rsidP="00E10183">
      <w:pPr>
        <w:ind w:left="1440"/>
        <w:rPr>
          <w:sz w:val="22"/>
          <w:szCs w:val="22"/>
        </w:rPr>
      </w:pPr>
      <w:r>
        <w:rPr>
          <w:sz w:val="22"/>
          <w:szCs w:val="22"/>
        </w:rPr>
        <w:t>What were the causes of World W</w:t>
      </w:r>
      <w:r w:rsidR="005B05FC" w:rsidRPr="008E56C6">
        <w:rPr>
          <w:sz w:val="22"/>
          <w:szCs w:val="22"/>
        </w:rPr>
        <w:t>ar I</w:t>
      </w:r>
      <w:r w:rsidR="00AD10C1">
        <w:rPr>
          <w:sz w:val="22"/>
          <w:szCs w:val="22"/>
        </w:rPr>
        <w:t>?</w:t>
      </w:r>
    </w:p>
    <w:p w14:paraId="3FB25E53" w14:textId="77777777" w:rsidR="008E56C6" w:rsidRPr="008E56C6" w:rsidRDefault="008E56C6" w:rsidP="00E10183">
      <w:pPr>
        <w:ind w:left="720"/>
        <w:rPr>
          <w:sz w:val="22"/>
          <w:szCs w:val="22"/>
        </w:rPr>
      </w:pPr>
    </w:p>
    <w:p w14:paraId="5A852A52" w14:textId="77777777" w:rsidR="00E10183" w:rsidRDefault="005B05FC" w:rsidP="00E10183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</w:r>
    </w:p>
    <w:p w14:paraId="2CE62137" w14:textId="6986C673" w:rsidR="005B05FC" w:rsidRPr="008E56C6" w:rsidRDefault="00E10183" w:rsidP="00E10183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5B05FC" w:rsidRPr="008E56C6">
        <w:rPr>
          <w:sz w:val="22"/>
          <w:szCs w:val="22"/>
        </w:rPr>
        <w:t xml:space="preserve">What was the </w:t>
      </w:r>
      <w:r>
        <w:rPr>
          <w:sz w:val="22"/>
          <w:szCs w:val="22"/>
        </w:rPr>
        <w:t xml:space="preserve">social, political, economic </w:t>
      </w:r>
      <w:r w:rsidR="005B05FC" w:rsidRPr="008E56C6">
        <w:rPr>
          <w:sz w:val="22"/>
          <w:szCs w:val="22"/>
        </w:rPr>
        <w:t xml:space="preserve">environment? </w:t>
      </w:r>
    </w:p>
    <w:p w14:paraId="62A1C514" w14:textId="77777777" w:rsidR="005B05FC" w:rsidRPr="008E56C6" w:rsidRDefault="005B05FC" w:rsidP="003679AA">
      <w:pPr>
        <w:rPr>
          <w:sz w:val="22"/>
          <w:szCs w:val="22"/>
        </w:rPr>
      </w:pPr>
    </w:p>
    <w:p w14:paraId="72780902" w14:textId="77777777" w:rsidR="00E10183" w:rsidRDefault="00E10183" w:rsidP="00AD10C1">
      <w:pPr>
        <w:ind w:left="720"/>
        <w:rPr>
          <w:sz w:val="22"/>
          <w:szCs w:val="22"/>
        </w:rPr>
      </w:pPr>
    </w:p>
    <w:p w14:paraId="73128BBF" w14:textId="6244840E" w:rsidR="005B05FC" w:rsidRPr="008E56C6" w:rsidRDefault="005B05FC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Some facts</w:t>
      </w:r>
    </w:p>
    <w:p w14:paraId="2988056A" w14:textId="798AF109" w:rsidR="005B05FC" w:rsidRPr="008E56C6" w:rsidRDefault="005B05FC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  <w:t>Schiefflin Plan</w:t>
      </w:r>
    </w:p>
    <w:p w14:paraId="624DF24F" w14:textId="68E51179" w:rsidR="005B05FC" w:rsidRPr="008E56C6" w:rsidRDefault="005B05FC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  <w:t>Western Front</w:t>
      </w:r>
    </w:p>
    <w:p w14:paraId="36DC2DE4" w14:textId="38D974CA" w:rsidR="005B05FC" w:rsidRPr="008E56C6" w:rsidRDefault="005B05FC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  <w:t>Eastern Front</w:t>
      </w:r>
    </w:p>
    <w:p w14:paraId="3B06D2CD" w14:textId="09622CAC" w:rsidR="005B05FC" w:rsidRPr="008E56C6" w:rsidRDefault="005B05FC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  <w:t>Combatants and non-combatants (revolutionary shifts)</w:t>
      </w:r>
    </w:p>
    <w:p w14:paraId="029E87FC" w14:textId="16587A4F" w:rsidR="005B05FC" w:rsidRPr="008E56C6" w:rsidRDefault="005B05FC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  <w:t>Trench warfare</w:t>
      </w:r>
    </w:p>
    <w:p w14:paraId="4D8E7691" w14:textId="342E08CD" w:rsidR="005B05FC" w:rsidRPr="008E56C6" w:rsidRDefault="005B05FC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  <w:t>Impact</w:t>
      </w:r>
    </w:p>
    <w:p w14:paraId="2E90155B" w14:textId="77777777" w:rsidR="008E56C6" w:rsidRPr="008E56C6" w:rsidRDefault="008E56C6" w:rsidP="003679AA">
      <w:pPr>
        <w:rPr>
          <w:sz w:val="22"/>
          <w:szCs w:val="22"/>
        </w:rPr>
      </w:pPr>
    </w:p>
    <w:p w14:paraId="7C1CCF1F" w14:textId="1F701831" w:rsidR="008E56C6" w:rsidRPr="008E56C6" w:rsidRDefault="00AD10C1" w:rsidP="003679AA">
      <w:pPr>
        <w:rPr>
          <w:sz w:val="22"/>
          <w:szCs w:val="22"/>
        </w:rPr>
      </w:pPr>
      <w:r>
        <w:rPr>
          <w:sz w:val="22"/>
          <w:szCs w:val="22"/>
        </w:rPr>
        <w:t xml:space="preserve">THE LITERATURE: Our text, </w:t>
      </w:r>
      <w:r w:rsidR="008E56C6" w:rsidRPr="008E56C6">
        <w:rPr>
          <w:sz w:val="22"/>
          <w:szCs w:val="22"/>
        </w:rPr>
        <w:t>confusions</w:t>
      </w:r>
      <w:r>
        <w:rPr>
          <w:sz w:val="22"/>
          <w:szCs w:val="22"/>
        </w:rPr>
        <w:t>, controversies</w:t>
      </w:r>
    </w:p>
    <w:p w14:paraId="34130609" w14:textId="70F01A73" w:rsidR="008E56C6" w:rsidRPr="008E56C6" w:rsidRDefault="008E56C6" w:rsidP="003679AA">
      <w:pPr>
        <w:rPr>
          <w:sz w:val="22"/>
          <w:szCs w:val="22"/>
        </w:rPr>
      </w:pPr>
      <w:r w:rsidRPr="008E56C6">
        <w:rPr>
          <w:sz w:val="22"/>
          <w:szCs w:val="22"/>
        </w:rPr>
        <w:tab/>
      </w:r>
    </w:p>
    <w:p w14:paraId="46339182" w14:textId="2CF1F59A" w:rsidR="008E56C6" w:rsidRPr="008E56C6" w:rsidRDefault="008E56C6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This week’s poems</w:t>
      </w:r>
    </w:p>
    <w:p w14:paraId="039CCF22" w14:textId="5B58E889" w:rsidR="008E56C6" w:rsidRPr="008E56C6" w:rsidRDefault="008E56C6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“The Soldier” (1914) by Rupert Brooke (1887-1915)</w:t>
      </w:r>
    </w:p>
    <w:p w14:paraId="1FD0E709" w14:textId="7CDDC6AD" w:rsidR="008E56C6" w:rsidRPr="008E56C6" w:rsidRDefault="008E56C6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“Into Battle” (1915) by Julian Grenfell (1888-1915)</w:t>
      </w:r>
    </w:p>
    <w:p w14:paraId="16F4C586" w14:textId="631BE52A" w:rsidR="008E56C6" w:rsidRPr="008E56C6" w:rsidRDefault="008E56C6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 xml:space="preserve">“In Flanders Field” (1915) by John McCrae, MD (1872-1918) </w:t>
      </w:r>
    </w:p>
    <w:p w14:paraId="0A28A6C2" w14:textId="40336216" w:rsidR="008E56C6" w:rsidRPr="008E56C6" w:rsidRDefault="008E56C6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“I have a Rendezvous with Death” (1916 or 17) by Alan Seeger (1888-1916)</w:t>
      </w:r>
    </w:p>
    <w:p w14:paraId="54921E97" w14:textId="77777777" w:rsidR="008E56C6" w:rsidRPr="008E56C6" w:rsidRDefault="008E56C6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“Testament of Youth” (1933) by Vera Brittain (1893-1979) sections</w:t>
      </w:r>
    </w:p>
    <w:p w14:paraId="04AC76F4" w14:textId="77777777" w:rsidR="008E56C6" w:rsidRPr="008E56C6" w:rsidRDefault="008E56C6" w:rsidP="00AD10C1">
      <w:pPr>
        <w:ind w:left="720"/>
        <w:rPr>
          <w:sz w:val="22"/>
          <w:szCs w:val="22"/>
        </w:rPr>
      </w:pPr>
    </w:p>
    <w:p w14:paraId="675C17ED" w14:textId="77777777" w:rsidR="008E56C6" w:rsidRPr="008E56C6" w:rsidRDefault="008E56C6" w:rsidP="00AD10C1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 xml:space="preserve">Watch opening of </w:t>
      </w:r>
      <w:r w:rsidRPr="008E56C6">
        <w:rPr>
          <w:i/>
          <w:sz w:val="22"/>
          <w:szCs w:val="22"/>
        </w:rPr>
        <w:t>All Quiet</w:t>
      </w:r>
      <w:r w:rsidRPr="008E56C6">
        <w:rPr>
          <w:sz w:val="22"/>
          <w:szCs w:val="22"/>
        </w:rPr>
        <w:t xml:space="preserve"> (1928 / 1930) by Erich Maria Remarque (1898-1970) (two weeks in battle before being wounded in June 1917)</w:t>
      </w:r>
    </w:p>
    <w:p w14:paraId="530EBC28" w14:textId="77777777" w:rsidR="008E56C6" w:rsidRPr="008E56C6" w:rsidRDefault="008E56C6" w:rsidP="00AD10C1">
      <w:pPr>
        <w:ind w:left="720"/>
        <w:rPr>
          <w:sz w:val="22"/>
          <w:szCs w:val="22"/>
        </w:rPr>
      </w:pPr>
    </w:p>
    <w:p w14:paraId="277FAE5D" w14:textId="7E084325" w:rsidR="008E56C6" w:rsidRPr="008E56C6" w:rsidRDefault="008E56C6" w:rsidP="00AD10C1">
      <w:pPr>
        <w:ind w:left="720"/>
        <w:rPr>
          <w:sz w:val="22"/>
          <w:szCs w:val="22"/>
        </w:rPr>
      </w:pPr>
      <w:r>
        <w:rPr>
          <w:sz w:val="22"/>
          <w:szCs w:val="22"/>
        </w:rPr>
        <w:t>??? Wilfred Owen??</w:t>
      </w:r>
    </w:p>
    <w:p w14:paraId="6D676F84" w14:textId="77777777" w:rsidR="005B05FC" w:rsidRPr="008E56C6" w:rsidRDefault="005B05FC" w:rsidP="003679AA">
      <w:pPr>
        <w:rPr>
          <w:sz w:val="22"/>
          <w:szCs w:val="22"/>
        </w:rPr>
      </w:pPr>
    </w:p>
    <w:p w14:paraId="65145F09" w14:textId="77777777" w:rsidR="005B05FC" w:rsidRPr="008E56C6" w:rsidRDefault="005B05FC" w:rsidP="003679AA">
      <w:pPr>
        <w:rPr>
          <w:sz w:val="22"/>
          <w:szCs w:val="22"/>
        </w:rPr>
      </w:pPr>
    </w:p>
    <w:p w14:paraId="7F464B62" w14:textId="01FE8CC3" w:rsidR="003679AA" w:rsidRPr="008E56C6" w:rsidRDefault="005B05FC" w:rsidP="003679AA">
      <w:pPr>
        <w:rPr>
          <w:sz w:val="22"/>
          <w:szCs w:val="22"/>
        </w:rPr>
      </w:pPr>
      <w:r w:rsidRPr="008E56C6">
        <w:rPr>
          <w:sz w:val="22"/>
          <w:szCs w:val="22"/>
        </w:rPr>
        <w:lastRenderedPageBreak/>
        <w:tab/>
      </w:r>
      <w:r w:rsidR="0037093C" w:rsidRPr="008E56C6">
        <w:rPr>
          <w:sz w:val="22"/>
          <w:szCs w:val="22"/>
          <w:u w:val="single"/>
        </w:rPr>
        <w:t>Reading Assignmen</w:t>
      </w:r>
      <w:r w:rsidR="00AC5A09" w:rsidRPr="008E56C6">
        <w:rPr>
          <w:sz w:val="22"/>
          <w:szCs w:val="22"/>
          <w:u w:val="single"/>
        </w:rPr>
        <w:t xml:space="preserve">t for </w:t>
      </w:r>
      <w:r w:rsidR="00C2072E" w:rsidRPr="008E56C6">
        <w:rPr>
          <w:sz w:val="22"/>
          <w:szCs w:val="22"/>
          <w:u w:val="single"/>
        </w:rPr>
        <w:t>Week 2</w:t>
      </w:r>
      <w:r w:rsidR="0018756D" w:rsidRPr="008E56C6">
        <w:rPr>
          <w:sz w:val="22"/>
          <w:szCs w:val="22"/>
        </w:rPr>
        <w:t xml:space="preserve"> </w:t>
      </w:r>
    </w:p>
    <w:p w14:paraId="51A61A66" w14:textId="0BF595A1" w:rsidR="00217DD0" w:rsidRPr="008E56C6" w:rsidRDefault="001277DC" w:rsidP="003679AA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</w:t>
      </w:r>
      <w:r w:rsidR="006A1B73" w:rsidRPr="008E56C6">
        <w:rPr>
          <w:sz w:val="22"/>
          <w:szCs w:val="22"/>
        </w:rPr>
        <w:t>This is not a case of Petty Right or Wrong</w:t>
      </w:r>
      <w:r w:rsidR="00217DD0" w:rsidRPr="008E56C6">
        <w:rPr>
          <w:sz w:val="22"/>
          <w:szCs w:val="22"/>
        </w:rPr>
        <w:t>,</w:t>
      </w:r>
      <w:r w:rsidR="006A1B73" w:rsidRPr="008E56C6">
        <w:rPr>
          <w:sz w:val="22"/>
          <w:szCs w:val="22"/>
        </w:rPr>
        <w:t>” by Edward Thomas</w:t>
      </w:r>
      <w:r w:rsidR="009E2F23" w:rsidRPr="008E56C6">
        <w:rPr>
          <w:sz w:val="22"/>
          <w:szCs w:val="22"/>
        </w:rPr>
        <w:t xml:space="preserve"> (p. 15)</w:t>
      </w:r>
    </w:p>
    <w:p w14:paraId="135B9368" w14:textId="677A0812" w:rsidR="006A1B73" w:rsidRPr="008E56C6" w:rsidRDefault="006A1B73" w:rsidP="003679AA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“Break of Day in Trench</w:t>
      </w:r>
      <w:r w:rsidR="00217DD0" w:rsidRPr="008E56C6">
        <w:rPr>
          <w:sz w:val="22"/>
          <w:szCs w:val="22"/>
        </w:rPr>
        <w:t>es,</w:t>
      </w:r>
      <w:r w:rsidRPr="008E56C6">
        <w:rPr>
          <w:sz w:val="22"/>
          <w:szCs w:val="22"/>
        </w:rPr>
        <w:t>” by Isaac Rosenberg</w:t>
      </w:r>
      <w:r w:rsidR="009E2F23" w:rsidRPr="008E56C6">
        <w:rPr>
          <w:sz w:val="22"/>
          <w:szCs w:val="22"/>
        </w:rPr>
        <w:t xml:space="preserve"> (p. 48)</w:t>
      </w:r>
    </w:p>
    <w:p w14:paraId="3F323195" w14:textId="77777777" w:rsidR="006C3015" w:rsidRPr="008E56C6" w:rsidRDefault="006C3015" w:rsidP="003679AA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“In the Trenches,” by Richard Aldington (p. 51-2)</w:t>
      </w:r>
    </w:p>
    <w:p w14:paraId="090B3473" w14:textId="03A4FDAB" w:rsidR="009E2F23" w:rsidRPr="008E56C6" w:rsidRDefault="00217DD0" w:rsidP="003679AA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“Exposure</w:t>
      </w:r>
      <w:r w:rsidR="009E2F23" w:rsidRPr="008E56C6">
        <w:rPr>
          <w:sz w:val="22"/>
          <w:szCs w:val="22"/>
        </w:rPr>
        <w:t>,</w:t>
      </w:r>
      <w:r w:rsidRPr="008E56C6">
        <w:rPr>
          <w:sz w:val="22"/>
          <w:szCs w:val="22"/>
        </w:rPr>
        <w:t xml:space="preserve">” </w:t>
      </w:r>
      <w:r w:rsidR="009E2F23" w:rsidRPr="008E56C6">
        <w:rPr>
          <w:sz w:val="22"/>
          <w:szCs w:val="22"/>
        </w:rPr>
        <w:t>by Wilfred Owen (p.</w:t>
      </w:r>
      <w:r w:rsidR="009D0F5F" w:rsidRPr="008E56C6">
        <w:rPr>
          <w:sz w:val="22"/>
          <w:szCs w:val="22"/>
        </w:rPr>
        <w:t xml:space="preserve"> </w:t>
      </w:r>
      <w:r w:rsidR="009E2F23" w:rsidRPr="008E56C6">
        <w:rPr>
          <w:sz w:val="22"/>
          <w:szCs w:val="22"/>
        </w:rPr>
        <w:t xml:space="preserve">55) </w:t>
      </w:r>
    </w:p>
    <w:p w14:paraId="46FA081E" w14:textId="6B99A352" w:rsidR="00217DD0" w:rsidRPr="008E56C6" w:rsidRDefault="00217DD0" w:rsidP="003679AA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 xml:space="preserve">“Apologia Pro Poemate Meo,” </w:t>
      </w:r>
      <w:r w:rsidR="009E2F23" w:rsidRPr="008E56C6">
        <w:rPr>
          <w:sz w:val="22"/>
          <w:szCs w:val="22"/>
        </w:rPr>
        <w:t xml:space="preserve">by Wilfred Owen (p. 81), </w:t>
      </w:r>
    </w:p>
    <w:p w14:paraId="35A15687" w14:textId="70E3F236" w:rsidR="009E2F23" w:rsidRPr="008E56C6" w:rsidRDefault="009E2F23" w:rsidP="003679AA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“The Sendoff,” by Wilfred Owen (p. 44)</w:t>
      </w:r>
    </w:p>
    <w:p w14:paraId="6B8E1AD5" w14:textId="001B6293" w:rsidR="00217DD0" w:rsidRDefault="00217DD0" w:rsidP="003679AA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“Come on My Lucky Lads,” by Edmond Blunden</w:t>
      </w:r>
      <w:r w:rsidR="009E2F23" w:rsidRPr="008E56C6">
        <w:rPr>
          <w:sz w:val="22"/>
          <w:szCs w:val="22"/>
        </w:rPr>
        <w:t xml:space="preserve"> (Handout)</w:t>
      </w:r>
    </w:p>
    <w:p w14:paraId="7F0FC2B5" w14:textId="77777777" w:rsidR="00DE41F2" w:rsidRPr="008E56C6" w:rsidRDefault="00DE41F2" w:rsidP="003679AA">
      <w:pPr>
        <w:ind w:left="720"/>
        <w:rPr>
          <w:sz w:val="22"/>
          <w:szCs w:val="22"/>
        </w:rPr>
      </w:pPr>
    </w:p>
    <w:p w14:paraId="50772DAF" w14:textId="57D22014" w:rsidR="00DB3F8A" w:rsidRDefault="00217DD0" w:rsidP="003679AA">
      <w:pPr>
        <w:ind w:left="720"/>
        <w:rPr>
          <w:sz w:val="22"/>
          <w:szCs w:val="22"/>
        </w:rPr>
      </w:pPr>
      <w:r w:rsidRPr="008E56C6">
        <w:rPr>
          <w:i/>
          <w:sz w:val="22"/>
          <w:szCs w:val="22"/>
        </w:rPr>
        <w:t>Testament of Youth</w:t>
      </w:r>
      <w:r w:rsidR="00A4605C" w:rsidRPr="008E56C6">
        <w:rPr>
          <w:i/>
          <w:sz w:val="22"/>
          <w:szCs w:val="22"/>
        </w:rPr>
        <w:t xml:space="preserve"> </w:t>
      </w:r>
      <w:r w:rsidR="00A4605C" w:rsidRPr="008E56C6">
        <w:rPr>
          <w:sz w:val="22"/>
          <w:szCs w:val="22"/>
        </w:rPr>
        <w:t>selection</w:t>
      </w:r>
      <w:r w:rsidRPr="008E56C6">
        <w:rPr>
          <w:i/>
          <w:sz w:val="22"/>
          <w:szCs w:val="22"/>
        </w:rPr>
        <w:t xml:space="preserve">, </w:t>
      </w:r>
      <w:r w:rsidR="00FF27CF" w:rsidRPr="008E56C6">
        <w:rPr>
          <w:sz w:val="22"/>
          <w:szCs w:val="22"/>
        </w:rPr>
        <w:t xml:space="preserve">by </w:t>
      </w:r>
      <w:r w:rsidR="00A4605C" w:rsidRPr="008E56C6">
        <w:rPr>
          <w:sz w:val="22"/>
          <w:szCs w:val="22"/>
        </w:rPr>
        <w:t>Brittain (pp. 232-244)</w:t>
      </w:r>
    </w:p>
    <w:p w14:paraId="1D6AD235" w14:textId="77777777" w:rsidR="00E10183" w:rsidRPr="008E56C6" w:rsidRDefault="00E10183" w:rsidP="003679AA">
      <w:pPr>
        <w:ind w:left="720"/>
        <w:rPr>
          <w:sz w:val="22"/>
          <w:szCs w:val="22"/>
        </w:rPr>
      </w:pPr>
      <w:bookmarkStart w:id="0" w:name="_GoBack"/>
      <w:bookmarkEnd w:id="0"/>
    </w:p>
    <w:p w14:paraId="72AE5A89" w14:textId="32D73D31" w:rsidR="00021284" w:rsidRPr="008E56C6" w:rsidRDefault="00DB3F8A" w:rsidP="0069480F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>Consider</w:t>
      </w:r>
      <w:r w:rsidR="00EB07E9" w:rsidRPr="008E56C6">
        <w:rPr>
          <w:sz w:val="22"/>
          <w:szCs w:val="22"/>
        </w:rPr>
        <w:t xml:space="preserve"> maps </w:t>
      </w:r>
      <w:r w:rsidR="00310170" w:rsidRPr="008E56C6">
        <w:rPr>
          <w:sz w:val="22"/>
          <w:szCs w:val="22"/>
        </w:rPr>
        <w:t xml:space="preserve">and photos </w:t>
      </w:r>
      <w:r w:rsidR="00EB07E9" w:rsidRPr="008E56C6">
        <w:rPr>
          <w:sz w:val="22"/>
          <w:szCs w:val="22"/>
        </w:rPr>
        <w:t>at</w:t>
      </w:r>
      <w:r w:rsidR="00436AEE" w:rsidRPr="008E56C6">
        <w:rPr>
          <w:sz w:val="22"/>
          <w:szCs w:val="22"/>
        </w:rPr>
        <w:t xml:space="preserve"> the seminar links at</w:t>
      </w:r>
      <w:r w:rsidR="00EB07E9" w:rsidRPr="008E56C6">
        <w:rPr>
          <w:sz w:val="22"/>
          <w:szCs w:val="22"/>
        </w:rPr>
        <w:t xml:space="preserve"> </w:t>
      </w:r>
      <w:hyperlink r:id="rId7" w:history="1">
        <w:r w:rsidR="00EB07E9" w:rsidRPr="008E56C6">
          <w:rPr>
            <w:rStyle w:val="Hyperlink"/>
            <w:sz w:val="22"/>
            <w:szCs w:val="22"/>
          </w:rPr>
          <w:t>http://www.susannedumbleton.com</w:t>
        </w:r>
      </w:hyperlink>
    </w:p>
    <w:p w14:paraId="5597C1CC" w14:textId="47D69EB4" w:rsidR="009C21BD" w:rsidRPr="008E56C6" w:rsidRDefault="00B711D1" w:rsidP="00DF5E66">
      <w:pPr>
        <w:ind w:left="720"/>
        <w:rPr>
          <w:sz w:val="22"/>
          <w:szCs w:val="22"/>
        </w:rPr>
      </w:pPr>
      <w:r w:rsidRPr="008E56C6">
        <w:rPr>
          <w:sz w:val="22"/>
          <w:szCs w:val="22"/>
        </w:rPr>
        <w:tab/>
        <w:t xml:space="preserve">Including </w:t>
      </w:r>
      <w:r w:rsidR="00436AEE" w:rsidRPr="008E56C6">
        <w:rPr>
          <w:sz w:val="22"/>
          <w:szCs w:val="22"/>
        </w:rPr>
        <w:t xml:space="preserve">materials from </w:t>
      </w:r>
      <w:r w:rsidRPr="008E56C6">
        <w:rPr>
          <w:sz w:val="22"/>
          <w:szCs w:val="22"/>
        </w:rPr>
        <w:t>Newberry collection</w:t>
      </w:r>
      <w:r w:rsidR="00436AEE" w:rsidRPr="008E56C6">
        <w:rPr>
          <w:sz w:val="22"/>
          <w:szCs w:val="22"/>
        </w:rPr>
        <w:t>.</w:t>
      </w:r>
    </w:p>
    <w:p w14:paraId="33257642" w14:textId="77777777" w:rsidR="00A4605C" w:rsidRPr="008E56C6" w:rsidRDefault="00A4605C" w:rsidP="00186FAE">
      <w:pPr>
        <w:rPr>
          <w:sz w:val="22"/>
          <w:szCs w:val="22"/>
          <w:highlight w:val="lightGray"/>
          <w:u w:val="single"/>
        </w:rPr>
      </w:pPr>
    </w:p>
    <w:p w14:paraId="3F369765" w14:textId="77777777" w:rsidR="00A4605C" w:rsidRPr="008E56C6" w:rsidRDefault="00A4605C" w:rsidP="00186FAE">
      <w:pPr>
        <w:rPr>
          <w:sz w:val="22"/>
          <w:szCs w:val="22"/>
          <w:highlight w:val="lightGray"/>
          <w:u w:val="single"/>
        </w:rPr>
      </w:pPr>
    </w:p>
    <w:p w14:paraId="6CD7257F" w14:textId="77777777" w:rsidR="00EB07E9" w:rsidRPr="004C6BFB" w:rsidRDefault="00EB07E9" w:rsidP="00EB07E9">
      <w:pPr>
        <w:jc w:val="right"/>
      </w:pPr>
    </w:p>
    <w:sectPr w:rsidR="00EB07E9" w:rsidRPr="004C6BFB" w:rsidSect="008E56C6">
      <w:footerReference w:type="even" r:id="rId8"/>
      <w:footerReference w:type="default" r:id="rId9"/>
      <w:pgSz w:w="12240" w:h="15840"/>
      <w:pgMar w:top="1080" w:right="1080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DB22" w14:textId="77777777" w:rsidR="00DE41F2" w:rsidRDefault="00DE41F2" w:rsidP="00890E21">
      <w:r>
        <w:separator/>
      </w:r>
    </w:p>
  </w:endnote>
  <w:endnote w:type="continuationSeparator" w:id="0">
    <w:p w14:paraId="66F17D72" w14:textId="77777777" w:rsidR="00DE41F2" w:rsidRDefault="00DE41F2" w:rsidP="0089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C74D0" w14:textId="77777777" w:rsidR="00DE41F2" w:rsidRDefault="00DE41F2" w:rsidP="00EB0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6515F" w14:textId="77777777" w:rsidR="00DE41F2" w:rsidRDefault="00DE41F2" w:rsidP="00890E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5505" w14:textId="77777777" w:rsidR="00DE41F2" w:rsidRDefault="00DE41F2" w:rsidP="00EB07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1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AE1BF" w14:textId="77777777" w:rsidR="00DE41F2" w:rsidRDefault="00DE41F2" w:rsidP="00890E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2820" w14:textId="77777777" w:rsidR="00DE41F2" w:rsidRDefault="00DE41F2" w:rsidP="00890E21">
      <w:r>
        <w:separator/>
      </w:r>
    </w:p>
  </w:footnote>
  <w:footnote w:type="continuationSeparator" w:id="0">
    <w:p w14:paraId="389F303C" w14:textId="77777777" w:rsidR="00DE41F2" w:rsidRDefault="00DE41F2" w:rsidP="0089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4"/>
    <w:rsid w:val="00011176"/>
    <w:rsid w:val="000174E7"/>
    <w:rsid w:val="00021284"/>
    <w:rsid w:val="000230A4"/>
    <w:rsid w:val="00023426"/>
    <w:rsid w:val="00035364"/>
    <w:rsid w:val="00040296"/>
    <w:rsid w:val="00042F5B"/>
    <w:rsid w:val="00043ABF"/>
    <w:rsid w:val="0005124D"/>
    <w:rsid w:val="000A4CDB"/>
    <w:rsid w:val="000A6AB4"/>
    <w:rsid w:val="000C66AF"/>
    <w:rsid w:val="000C71A5"/>
    <w:rsid w:val="000F4430"/>
    <w:rsid w:val="000F6D38"/>
    <w:rsid w:val="000F7B52"/>
    <w:rsid w:val="001277DC"/>
    <w:rsid w:val="00142DA9"/>
    <w:rsid w:val="00172383"/>
    <w:rsid w:val="00186FAE"/>
    <w:rsid w:val="0018756D"/>
    <w:rsid w:val="001E3FF0"/>
    <w:rsid w:val="001E4ACE"/>
    <w:rsid w:val="002013DE"/>
    <w:rsid w:val="00216E5A"/>
    <w:rsid w:val="00217DD0"/>
    <w:rsid w:val="002216B4"/>
    <w:rsid w:val="0024160A"/>
    <w:rsid w:val="00246D2E"/>
    <w:rsid w:val="0025419D"/>
    <w:rsid w:val="00271242"/>
    <w:rsid w:val="002846D3"/>
    <w:rsid w:val="002A0BAE"/>
    <w:rsid w:val="002A70B4"/>
    <w:rsid w:val="00310170"/>
    <w:rsid w:val="0034021F"/>
    <w:rsid w:val="0036089E"/>
    <w:rsid w:val="003679AA"/>
    <w:rsid w:val="0037093C"/>
    <w:rsid w:val="0037220E"/>
    <w:rsid w:val="003962A8"/>
    <w:rsid w:val="00397B50"/>
    <w:rsid w:val="003A54A3"/>
    <w:rsid w:val="003B5205"/>
    <w:rsid w:val="003C04AB"/>
    <w:rsid w:val="003D4CFB"/>
    <w:rsid w:val="003E7AA1"/>
    <w:rsid w:val="00417A23"/>
    <w:rsid w:val="00423229"/>
    <w:rsid w:val="00436AEE"/>
    <w:rsid w:val="004C6ABF"/>
    <w:rsid w:val="004C6BFB"/>
    <w:rsid w:val="0053049A"/>
    <w:rsid w:val="005A5061"/>
    <w:rsid w:val="005A5697"/>
    <w:rsid w:val="005B05FC"/>
    <w:rsid w:val="005E59BA"/>
    <w:rsid w:val="006378B1"/>
    <w:rsid w:val="0069480F"/>
    <w:rsid w:val="00696690"/>
    <w:rsid w:val="006A1B73"/>
    <w:rsid w:val="006C3015"/>
    <w:rsid w:val="00752D84"/>
    <w:rsid w:val="00786BFD"/>
    <w:rsid w:val="007A72CC"/>
    <w:rsid w:val="007B5C89"/>
    <w:rsid w:val="007E7CB0"/>
    <w:rsid w:val="00836C39"/>
    <w:rsid w:val="00890E21"/>
    <w:rsid w:val="00894B4D"/>
    <w:rsid w:val="008C3874"/>
    <w:rsid w:val="008E37B8"/>
    <w:rsid w:val="008E56C6"/>
    <w:rsid w:val="008F5BAC"/>
    <w:rsid w:val="0090683D"/>
    <w:rsid w:val="009273EF"/>
    <w:rsid w:val="00931E1F"/>
    <w:rsid w:val="009645F6"/>
    <w:rsid w:val="00970A4C"/>
    <w:rsid w:val="00974DC1"/>
    <w:rsid w:val="009808BA"/>
    <w:rsid w:val="009811C0"/>
    <w:rsid w:val="00982703"/>
    <w:rsid w:val="00990030"/>
    <w:rsid w:val="0099276A"/>
    <w:rsid w:val="009C21BD"/>
    <w:rsid w:val="009D0F5F"/>
    <w:rsid w:val="009E2F23"/>
    <w:rsid w:val="009E4920"/>
    <w:rsid w:val="009E67E7"/>
    <w:rsid w:val="00A31895"/>
    <w:rsid w:val="00A4513A"/>
    <w:rsid w:val="00A4605C"/>
    <w:rsid w:val="00A71D87"/>
    <w:rsid w:val="00AB41DA"/>
    <w:rsid w:val="00AC38D2"/>
    <w:rsid w:val="00AC5A09"/>
    <w:rsid w:val="00AD10C1"/>
    <w:rsid w:val="00B36990"/>
    <w:rsid w:val="00B40726"/>
    <w:rsid w:val="00B4082C"/>
    <w:rsid w:val="00B711D1"/>
    <w:rsid w:val="00BC0B5D"/>
    <w:rsid w:val="00BD1D40"/>
    <w:rsid w:val="00C2072E"/>
    <w:rsid w:val="00C57C7C"/>
    <w:rsid w:val="00C67F58"/>
    <w:rsid w:val="00CA6BD9"/>
    <w:rsid w:val="00CC76F6"/>
    <w:rsid w:val="00CD3040"/>
    <w:rsid w:val="00CF4B56"/>
    <w:rsid w:val="00D24AE7"/>
    <w:rsid w:val="00D27A48"/>
    <w:rsid w:val="00D30C5F"/>
    <w:rsid w:val="00D331BC"/>
    <w:rsid w:val="00D378B9"/>
    <w:rsid w:val="00D4372D"/>
    <w:rsid w:val="00D803AD"/>
    <w:rsid w:val="00D92E26"/>
    <w:rsid w:val="00D94D55"/>
    <w:rsid w:val="00DB3F8A"/>
    <w:rsid w:val="00DB437A"/>
    <w:rsid w:val="00DB5184"/>
    <w:rsid w:val="00DC434F"/>
    <w:rsid w:val="00DC6CB8"/>
    <w:rsid w:val="00DD299F"/>
    <w:rsid w:val="00DE41F2"/>
    <w:rsid w:val="00DF5E66"/>
    <w:rsid w:val="00E07A2A"/>
    <w:rsid w:val="00E10183"/>
    <w:rsid w:val="00E21252"/>
    <w:rsid w:val="00E30C39"/>
    <w:rsid w:val="00E32ACD"/>
    <w:rsid w:val="00E3763B"/>
    <w:rsid w:val="00E50D66"/>
    <w:rsid w:val="00E5648E"/>
    <w:rsid w:val="00E6668B"/>
    <w:rsid w:val="00EB07E9"/>
    <w:rsid w:val="00EB4BCA"/>
    <w:rsid w:val="00ED07E8"/>
    <w:rsid w:val="00EE4DEB"/>
    <w:rsid w:val="00F64028"/>
    <w:rsid w:val="00F87922"/>
    <w:rsid w:val="00F91C52"/>
    <w:rsid w:val="00F972B5"/>
    <w:rsid w:val="00FA22EE"/>
    <w:rsid w:val="00FC292C"/>
    <w:rsid w:val="00FE080F"/>
    <w:rsid w:val="00FF27CF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C4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1"/>
  </w:style>
  <w:style w:type="character" w:styleId="PageNumber">
    <w:name w:val="page number"/>
    <w:basedOn w:val="DefaultParagraphFont"/>
    <w:uiPriority w:val="99"/>
    <w:semiHidden/>
    <w:unhideWhenUsed/>
    <w:rsid w:val="00890E21"/>
  </w:style>
  <w:style w:type="character" w:styleId="FollowedHyperlink">
    <w:name w:val="FollowedHyperlink"/>
    <w:basedOn w:val="DefaultParagraphFont"/>
    <w:uiPriority w:val="99"/>
    <w:semiHidden/>
    <w:unhideWhenUsed/>
    <w:rsid w:val="00417A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1"/>
  </w:style>
  <w:style w:type="character" w:styleId="PageNumber">
    <w:name w:val="page number"/>
    <w:basedOn w:val="DefaultParagraphFont"/>
    <w:uiPriority w:val="99"/>
    <w:semiHidden/>
    <w:unhideWhenUsed/>
    <w:rsid w:val="00890E21"/>
  </w:style>
  <w:style w:type="character" w:styleId="FollowedHyperlink">
    <w:name w:val="FollowedHyperlink"/>
    <w:basedOn w:val="DefaultParagraphFont"/>
    <w:uiPriority w:val="99"/>
    <w:semiHidden/>
    <w:unhideWhenUsed/>
    <w:rsid w:val="00417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sannedumbleton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Saugatuck</Company>
  <LinksUpToDate>false</LinksUpToDate>
  <CharactersWithSpaces>2233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4</cp:revision>
  <cp:lastPrinted>2018-10-08T16:55:00Z</cp:lastPrinted>
  <dcterms:created xsi:type="dcterms:W3CDTF">2018-10-08T16:05:00Z</dcterms:created>
  <dcterms:modified xsi:type="dcterms:W3CDTF">2018-10-08T17:00:00Z</dcterms:modified>
  <cp:category/>
</cp:coreProperties>
</file>